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F7CED">
      <w:pPr>
        <w:jc w:val="center"/>
        <w:rPr>
          <w:rFonts w:hint="eastAsia" w:ascii="宋体" w:hAnsi="宋体" w:cs="宋体"/>
          <w:b/>
          <w:bCs/>
          <w:sz w:val="56"/>
          <w:szCs w:val="56"/>
          <w:highlight w:val="none"/>
        </w:rPr>
      </w:pPr>
      <w:r>
        <w:rPr>
          <w:rFonts w:hint="eastAsia" w:ascii="宋体" w:hAnsi="宋体" w:cs="宋体"/>
          <w:b/>
          <w:bCs/>
          <w:sz w:val="56"/>
          <w:szCs w:val="56"/>
          <w:highlight w:val="none"/>
        </w:rPr>
        <w:t>南京市第一医院</w:t>
      </w:r>
      <w:r>
        <w:rPr>
          <w:rFonts w:hint="eastAsia" w:ascii="宋体" w:hAnsi="宋体" w:cs="宋体"/>
          <w:b/>
          <w:bCs/>
          <w:sz w:val="56"/>
          <w:szCs w:val="56"/>
          <w:highlight w:val="none"/>
          <w:lang w:eastAsia="zh-CN"/>
        </w:rPr>
        <w:t>X射线计算机体层摄影设备（双源CT）维保</w:t>
      </w:r>
      <w:r>
        <w:rPr>
          <w:rFonts w:hint="eastAsia" w:ascii="宋体" w:hAnsi="宋体" w:cs="宋体"/>
          <w:b/>
          <w:bCs/>
          <w:sz w:val="56"/>
          <w:szCs w:val="56"/>
          <w:highlight w:val="none"/>
        </w:rPr>
        <w:t>采购项目</w:t>
      </w:r>
    </w:p>
    <w:p w14:paraId="2A14EBB1">
      <w:pPr>
        <w:jc w:val="center"/>
        <w:rPr>
          <w:rFonts w:hint="eastAsia" w:ascii="黑体" w:hAnsi="黑体" w:eastAsia="黑体" w:cs="黑体"/>
          <w:b/>
          <w:bCs/>
          <w:sz w:val="48"/>
          <w:szCs w:val="48"/>
          <w:highlight w:val="none"/>
        </w:rPr>
      </w:pPr>
    </w:p>
    <w:p w14:paraId="78683DDF">
      <w:pPr>
        <w:jc w:val="cente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项目编号：JSZC-320100-JSHY-G2026-0018</w:t>
      </w:r>
    </w:p>
    <w:p w14:paraId="39A0E8E2">
      <w:pPr>
        <w:rPr>
          <w:rFonts w:ascii="华文琥珀" w:eastAsia="华文琥珀"/>
          <w:sz w:val="36"/>
          <w:szCs w:val="36"/>
          <w:highlight w:val="none"/>
        </w:rPr>
      </w:pPr>
    </w:p>
    <w:p w14:paraId="043FA34F">
      <w:pPr>
        <w:jc w:val="center"/>
        <w:rPr>
          <w:rFonts w:hint="eastAsia" w:ascii="宋体" w:hAnsi="宋体" w:cs="宋体"/>
          <w:sz w:val="40"/>
          <w:szCs w:val="40"/>
          <w:highlight w:val="none"/>
        </w:rPr>
      </w:pPr>
      <w:r>
        <w:rPr>
          <w:rFonts w:hint="eastAsia" w:ascii="宋体" w:hAnsi="宋体" w:cs="宋体"/>
          <w:sz w:val="40"/>
          <w:szCs w:val="40"/>
          <w:highlight w:val="none"/>
        </w:rPr>
        <w:t>招标代理编号：</w:t>
      </w:r>
      <w:r>
        <w:rPr>
          <w:rFonts w:hint="eastAsia" w:ascii="宋体" w:hAnsi="宋体" w:cs="宋体"/>
          <w:sz w:val="40"/>
          <w:szCs w:val="40"/>
          <w:highlight w:val="none"/>
          <w:lang w:eastAsia="zh-CN"/>
        </w:rPr>
        <w:t xml:space="preserve">1009-2641HOLLY04J </w:t>
      </w:r>
      <w:r>
        <w:rPr>
          <w:rFonts w:hint="eastAsia" w:ascii="宋体" w:hAnsi="宋体" w:cs="宋体"/>
          <w:sz w:val="40"/>
          <w:szCs w:val="40"/>
          <w:highlight w:val="none"/>
        </w:rPr>
        <w:t xml:space="preserve"> </w:t>
      </w:r>
    </w:p>
    <w:p w14:paraId="74E50E6A">
      <w:pPr>
        <w:jc w:val="center"/>
        <w:rPr>
          <w:rFonts w:ascii="方正大标宋简体" w:eastAsia="方正大标宋简体"/>
          <w:b/>
          <w:sz w:val="18"/>
          <w:szCs w:val="18"/>
          <w:highlight w:val="none"/>
        </w:rPr>
      </w:pPr>
    </w:p>
    <w:p w14:paraId="3AA1D5CB">
      <w:pPr>
        <w:jc w:val="center"/>
        <w:rPr>
          <w:rFonts w:ascii="方正大标宋简体" w:eastAsia="方正大标宋简体"/>
          <w:b/>
          <w:sz w:val="18"/>
          <w:szCs w:val="18"/>
          <w:highlight w:val="none"/>
        </w:rPr>
      </w:pPr>
    </w:p>
    <w:p w14:paraId="1C22ADE4">
      <w:pPr>
        <w:jc w:val="center"/>
        <w:rPr>
          <w:rFonts w:ascii="方正大标宋简体" w:eastAsia="方正大标宋简体"/>
          <w:b/>
          <w:sz w:val="18"/>
          <w:szCs w:val="18"/>
          <w:highlight w:val="none"/>
        </w:rPr>
      </w:pPr>
    </w:p>
    <w:p w14:paraId="45212F54">
      <w:pPr>
        <w:jc w:val="center"/>
        <w:rPr>
          <w:rFonts w:ascii="方正大标宋简体" w:eastAsia="方正大标宋简体"/>
          <w:b/>
          <w:sz w:val="18"/>
          <w:szCs w:val="18"/>
          <w:highlight w:val="none"/>
        </w:rPr>
      </w:pPr>
    </w:p>
    <w:p w14:paraId="00FC6B8D">
      <w:pPr>
        <w:jc w:val="center"/>
        <w:rPr>
          <w:rFonts w:ascii="方正大标宋简体" w:eastAsia="方正大标宋简体"/>
          <w:b/>
          <w:sz w:val="18"/>
          <w:szCs w:val="18"/>
          <w:highlight w:val="none"/>
        </w:rPr>
      </w:pPr>
    </w:p>
    <w:p w14:paraId="5D73B549">
      <w:pPr>
        <w:jc w:val="center"/>
        <w:rPr>
          <w:rFonts w:ascii="黑体" w:eastAsia="黑体"/>
          <w:sz w:val="82"/>
          <w:szCs w:val="72"/>
          <w:highlight w:val="none"/>
        </w:rPr>
      </w:pPr>
      <w:r>
        <w:rPr>
          <w:rFonts w:hint="eastAsia" w:ascii="黑体" w:eastAsia="黑体"/>
          <w:sz w:val="82"/>
          <w:szCs w:val="72"/>
          <w:highlight w:val="none"/>
        </w:rPr>
        <w:t>招  标  文  件</w:t>
      </w:r>
      <w:bookmarkStart w:id="190" w:name="_GoBack"/>
      <w:bookmarkEnd w:id="190"/>
    </w:p>
    <w:p w14:paraId="40115F67">
      <w:pPr>
        <w:spacing w:line="500" w:lineRule="exact"/>
        <w:ind w:firstLine="1980"/>
        <w:jc w:val="left"/>
        <w:rPr>
          <w:rFonts w:ascii="华文楷体" w:eastAsia="华文楷体"/>
          <w:sz w:val="36"/>
          <w:szCs w:val="36"/>
          <w:highlight w:val="none"/>
        </w:rPr>
      </w:pPr>
    </w:p>
    <w:p w14:paraId="3D78A4E9">
      <w:pPr>
        <w:spacing w:line="500" w:lineRule="exact"/>
        <w:ind w:firstLine="1980"/>
        <w:jc w:val="left"/>
        <w:rPr>
          <w:rFonts w:ascii="华文楷体" w:eastAsia="华文楷体"/>
          <w:sz w:val="36"/>
          <w:szCs w:val="36"/>
          <w:highlight w:val="none"/>
        </w:rPr>
      </w:pPr>
    </w:p>
    <w:p w14:paraId="3CFFCF4A">
      <w:pPr>
        <w:spacing w:line="500" w:lineRule="exact"/>
        <w:jc w:val="left"/>
        <w:rPr>
          <w:rFonts w:ascii="华文楷体" w:eastAsia="华文楷体"/>
          <w:sz w:val="36"/>
          <w:szCs w:val="36"/>
          <w:highlight w:val="none"/>
        </w:rPr>
      </w:pPr>
    </w:p>
    <w:p w14:paraId="3835A9E2">
      <w:pPr>
        <w:rPr>
          <w:highlight w:val="none"/>
        </w:rPr>
      </w:pPr>
    </w:p>
    <w:p w14:paraId="2EC47363">
      <w:pPr>
        <w:rPr>
          <w:highlight w:val="none"/>
        </w:rPr>
      </w:pPr>
    </w:p>
    <w:p w14:paraId="55F74A82">
      <w:pPr>
        <w:rPr>
          <w:highlight w:val="none"/>
        </w:rPr>
      </w:pPr>
    </w:p>
    <w:p w14:paraId="5A6418E8">
      <w:pPr>
        <w:rPr>
          <w:highlight w:val="none"/>
        </w:rPr>
      </w:pPr>
    </w:p>
    <w:p w14:paraId="27881E98">
      <w:pPr>
        <w:rPr>
          <w:highlight w:val="none"/>
        </w:rPr>
      </w:pPr>
    </w:p>
    <w:p w14:paraId="6103E0E7">
      <w:pPr>
        <w:rPr>
          <w:highlight w:val="none"/>
        </w:rPr>
      </w:pPr>
    </w:p>
    <w:tbl>
      <w:tblPr>
        <w:tblStyle w:val="34"/>
        <w:tblW w:w="0" w:type="auto"/>
        <w:jc w:val="center"/>
        <w:tblLayout w:type="fixed"/>
        <w:tblCellMar>
          <w:top w:w="0" w:type="dxa"/>
          <w:left w:w="108" w:type="dxa"/>
          <w:bottom w:w="0" w:type="dxa"/>
          <w:right w:w="108" w:type="dxa"/>
        </w:tblCellMar>
      </w:tblPr>
      <w:tblGrid>
        <w:gridCol w:w="2348"/>
        <w:gridCol w:w="5454"/>
      </w:tblGrid>
      <w:tr w14:paraId="246AF415">
        <w:tblPrEx>
          <w:tblCellMar>
            <w:top w:w="0" w:type="dxa"/>
            <w:left w:w="108" w:type="dxa"/>
            <w:bottom w:w="0" w:type="dxa"/>
            <w:right w:w="108" w:type="dxa"/>
          </w:tblCellMar>
        </w:tblPrEx>
        <w:trPr>
          <w:jc w:val="center"/>
        </w:trPr>
        <w:tc>
          <w:tcPr>
            <w:tcW w:w="2348" w:type="dxa"/>
            <w:tcBorders>
              <w:top w:val="nil"/>
              <w:left w:val="nil"/>
              <w:bottom w:val="nil"/>
              <w:right w:val="nil"/>
            </w:tcBorders>
            <w:noWrap w:val="0"/>
          </w:tcPr>
          <w:p w14:paraId="41CCAB75">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采购人：</w:t>
            </w:r>
          </w:p>
        </w:tc>
        <w:tc>
          <w:tcPr>
            <w:tcW w:w="5454" w:type="dxa"/>
            <w:tcBorders>
              <w:top w:val="nil"/>
              <w:left w:val="nil"/>
              <w:bottom w:val="nil"/>
              <w:right w:val="nil"/>
            </w:tcBorders>
            <w:noWrap w:val="0"/>
          </w:tcPr>
          <w:p w14:paraId="52090863">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南京市第一医院</w:t>
            </w:r>
          </w:p>
        </w:tc>
      </w:tr>
      <w:tr w14:paraId="07335CE9">
        <w:tblPrEx>
          <w:tblCellMar>
            <w:top w:w="0" w:type="dxa"/>
            <w:left w:w="108" w:type="dxa"/>
            <w:bottom w:w="0" w:type="dxa"/>
            <w:right w:w="108" w:type="dxa"/>
          </w:tblCellMar>
        </w:tblPrEx>
        <w:trPr>
          <w:jc w:val="center"/>
        </w:trPr>
        <w:tc>
          <w:tcPr>
            <w:tcW w:w="2348" w:type="dxa"/>
            <w:tcBorders>
              <w:top w:val="nil"/>
              <w:left w:val="nil"/>
              <w:bottom w:val="nil"/>
              <w:right w:val="nil"/>
            </w:tcBorders>
            <w:noWrap w:val="0"/>
          </w:tcPr>
          <w:p w14:paraId="6EDC03DB">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采购代理机构：</w:t>
            </w:r>
          </w:p>
        </w:tc>
        <w:tc>
          <w:tcPr>
            <w:tcW w:w="5454" w:type="dxa"/>
            <w:tcBorders>
              <w:top w:val="nil"/>
              <w:left w:val="nil"/>
              <w:bottom w:val="nil"/>
              <w:right w:val="nil"/>
            </w:tcBorders>
            <w:noWrap w:val="0"/>
          </w:tcPr>
          <w:p w14:paraId="77ADA3B7">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江苏弘业国际技术工程有限公司</w:t>
            </w:r>
          </w:p>
        </w:tc>
      </w:tr>
      <w:tr w14:paraId="375D4967">
        <w:tblPrEx>
          <w:tblCellMar>
            <w:top w:w="0" w:type="dxa"/>
            <w:left w:w="108" w:type="dxa"/>
            <w:bottom w:w="0" w:type="dxa"/>
            <w:right w:w="108" w:type="dxa"/>
          </w:tblCellMar>
        </w:tblPrEx>
        <w:trPr>
          <w:jc w:val="center"/>
        </w:trPr>
        <w:tc>
          <w:tcPr>
            <w:tcW w:w="2348" w:type="dxa"/>
            <w:tcBorders>
              <w:top w:val="nil"/>
              <w:left w:val="nil"/>
              <w:bottom w:val="nil"/>
              <w:right w:val="nil"/>
            </w:tcBorders>
            <w:noWrap w:val="0"/>
          </w:tcPr>
          <w:p w14:paraId="7AC6467F">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日  期：</w:t>
            </w:r>
          </w:p>
        </w:tc>
        <w:tc>
          <w:tcPr>
            <w:tcW w:w="5454" w:type="dxa"/>
            <w:tcBorders>
              <w:top w:val="nil"/>
              <w:left w:val="nil"/>
              <w:bottom w:val="nil"/>
              <w:right w:val="nil"/>
            </w:tcBorders>
            <w:noWrap w:val="0"/>
          </w:tcPr>
          <w:p w14:paraId="736451B1">
            <w:pPr>
              <w:rPr>
                <w:rFonts w:hint="eastAsia" w:ascii="黑体" w:hAnsi="黑体" w:eastAsia="黑体" w:cs="黑体"/>
                <w:b/>
                <w:bCs/>
                <w:sz w:val="32"/>
                <w:szCs w:val="32"/>
                <w:highlight w:val="none"/>
              </w:rPr>
            </w:pPr>
            <w:bookmarkStart w:id="0" w:name="EB011e21966a4746ceac4488705cfdd813"/>
            <w:r>
              <w:rPr>
                <w:rFonts w:hint="eastAsia" w:ascii="黑体" w:hAnsi="黑体" w:eastAsia="黑体" w:cs="黑体"/>
                <w:b/>
                <w:bCs/>
                <w:sz w:val="32"/>
                <w:szCs w:val="32"/>
                <w:highlight w:val="none"/>
              </w:rPr>
              <w:t>202</w:t>
            </w:r>
            <w:r>
              <w:rPr>
                <w:rFonts w:hint="eastAsia" w:ascii="黑体" w:hAnsi="黑体" w:eastAsia="黑体" w:cs="黑体"/>
                <w:b/>
                <w:bCs/>
                <w:sz w:val="32"/>
                <w:szCs w:val="32"/>
                <w:highlight w:val="none"/>
                <w:lang w:val="en-US" w:eastAsia="zh-CN"/>
              </w:rPr>
              <w:t>6</w:t>
            </w:r>
            <w:r>
              <w:rPr>
                <w:rFonts w:hint="eastAsia" w:ascii="黑体" w:hAnsi="黑体" w:eastAsia="黑体" w:cs="黑体"/>
                <w:b/>
                <w:bCs/>
                <w:sz w:val="32"/>
                <w:szCs w:val="32"/>
                <w:highlight w:val="none"/>
              </w:rPr>
              <w:t>年0</w:t>
            </w:r>
            <w:r>
              <w:rPr>
                <w:rFonts w:hint="eastAsia" w:ascii="黑体" w:hAnsi="黑体" w:eastAsia="黑体" w:cs="黑体"/>
                <w:b/>
                <w:bCs/>
                <w:sz w:val="32"/>
                <w:szCs w:val="32"/>
                <w:highlight w:val="none"/>
                <w:lang w:val="en-US" w:eastAsia="zh-CN"/>
              </w:rPr>
              <w:t>1</w:t>
            </w:r>
            <w:r>
              <w:rPr>
                <w:rFonts w:hint="eastAsia" w:ascii="黑体" w:hAnsi="黑体" w:eastAsia="黑体" w:cs="黑体"/>
                <w:b/>
                <w:bCs/>
                <w:sz w:val="32"/>
                <w:szCs w:val="32"/>
                <w:highlight w:val="none"/>
              </w:rPr>
              <w:t>月</w:t>
            </w:r>
            <w:bookmarkEnd w:id="0"/>
          </w:p>
        </w:tc>
      </w:tr>
    </w:tbl>
    <w:p w14:paraId="27A322E1">
      <w:pPr>
        <w:rPr>
          <w:highlight w:val="none"/>
        </w:rPr>
      </w:pPr>
    </w:p>
    <w:p w14:paraId="29090AD5">
      <w:pPr>
        <w:rPr>
          <w:highlight w:val="none"/>
        </w:rPr>
      </w:pPr>
    </w:p>
    <w:p w14:paraId="7F0E1909">
      <w:pPr>
        <w:rPr>
          <w:highlight w:val="none"/>
        </w:rPr>
      </w:pPr>
    </w:p>
    <w:p w14:paraId="554232E4">
      <w:pPr>
        <w:rPr>
          <w:highlight w:val="none"/>
        </w:rPr>
      </w:pPr>
    </w:p>
    <w:p w14:paraId="39E18B5A">
      <w:pPr>
        <w:rPr>
          <w:highlight w:val="none"/>
        </w:rPr>
      </w:pPr>
    </w:p>
    <w:p w14:paraId="47AF28D2">
      <w:pPr>
        <w:pStyle w:val="96"/>
        <w:tabs>
          <w:tab w:val="left" w:pos="6527"/>
        </w:tabs>
        <w:rPr>
          <w:highlight w:val="none"/>
        </w:rPr>
      </w:pPr>
      <w:bookmarkStart w:id="1" w:name="EB06f4f849a067447382c5c19bd1747a07"/>
      <w:r>
        <w:rPr>
          <w:rFonts w:hint="eastAsia"/>
          <w:sz w:val="20"/>
          <w:highlight w:val="none"/>
        </w:rPr>
        <w:t xml:space="preserve"> </w:t>
      </w:r>
      <w:bookmarkEnd w:id="1"/>
      <w:r>
        <w:rPr>
          <w:rFonts w:hint="eastAsia"/>
          <w:highlight w:val="none"/>
        </w:rPr>
        <w:tab/>
      </w:r>
    </w:p>
    <w:p w14:paraId="1612CE42">
      <w:pPr>
        <w:widowControl/>
        <w:jc w:val="left"/>
        <w:rPr>
          <w:rFonts w:hint="eastAsia" w:ascii="宋体" w:hAnsi="宋体"/>
          <w:b/>
          <w:bCs/>
          <w:sz w:val="24"/>
          <w:szCs w:val="28"/>
          <w:highlight w:val="none"/>
        </w:rPr>
      </w:pPr>
      <w:r>
        <w:rPr>
          <w:rFonts w:hint="eastAsia" w:ascii="宋体" w:hAnsi="宋体"/>
          <w:b/>
          <w:bCs/>
          <w:sz w:val="24"/>
          <w:szCs w:val="28"/>
          <w:highlight w:val="none"/>
        </w:rPr>
        <w:br w:type="page" w:clear="all"/>
      </w:r>
    </w:p>
    <w:p w14:paraId="42481A4D">
      <w:pPr>
        <w:jc w:val="center"/>
        <w:rPr>
          <w:rFonts w:eastAsia="仿宋_GB2312"/>
          <w:highlight w:val="none"/>
        </w:rPr>
      </w:pPr>
      <w:r>
        <w:rPr>
          <w:rFonts w:ascii="宋体" w:hAnsi="宋体"/>
          <w:b/>
          <w:bCs/>
          <w:sz w:val="24"/>
          <w:szCs w:val="28"/>
          <w:highlight w:val="none"/>
        </w:rPr>
        <w:t>目</w:t>
      </w:r>
      <w:r>
        <w:rPr>
          <w:rFonts w:hint="eastAsia" w:ascii="宋体" w:hAnsi="宋体"/>
          <w:b/>
          <w:bCs/>
          <w:sz w:val="24"/>
          <w:szCs w:val="28"/>
          <w:highlight w:val="none"/>
        </w:rPr>
        <w:t xml:space="preserve">  </w:t>
      </w:r>
      <w:r>
        <w:rPr>
          <w:rFonts w:ascii="宋体" w:hAnsi="宋体"/>
          <w:b/>
          <w:bCs/>
          <w:sz w:val="24"/>
          <w:szCs w:val="28"/>
          <w:highlight w:val="none"/>
        </w:rPr>
        <w:t>录</w:t>
      </w:r>
    </w:p>
    <w:p w14:paraId="110FAE03">
      <w:pPr>
        <w:pStyle w:val="391"/>
        <w:tabs>
          <w:tab w:val="right" w:leader="dot" w:pos="8844"/>
        </w:tabs>
        <w:spacing w:line="440" w:lineRule="exact"/>
        <w:rPr>
          <w:rFonts w:hint="eastAsia" w:ascii="宋体" w:hAnsi="宋体" w:cs="宋体"/>
          <w:sz w:val="24"/>
          <w:szCs w:val="24"/>
          <w:highlight w:val="none"/>
        </w:rPr>
      </w:pP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TOC \o "1-2" \h \u </w:instrText>
      </w:r>
      <w:r>
        <w:rPr>
          <w:rFonts w:hint="eastAsia" w:ascii="宋体" w:hAnsi="宋体" w:cs="宋体"/>
          <w:b/>
          <w:sz w:val="24"/>
          <w:szCs w:val="24"/>
          <w:highlight w:val="none"/>
        </w:rPr>
        <w:fldChar w:fldCharType="separate"/>
      </w:r>
      <w:r>
        <w:rPr>
          <w:highlight w:val="none"/>
        </w:rPr>
        <w:fldChar w:fldCharType="begin"/>
      </w:r>
      <w:r>
        <w:rPr>
          <w:highlight w:val="none"/>
        </w:rPr>
        <w:instrText xml:space="preserve"> HYPERLINK \l "_Toc14268" </w:instrText>
      </w:r>
      <w:r>
        <w:rPr>
          <w:highlight w:val="none"/>
        </w:rPr>
        <w:fldChar w:fldCharType="separate"/>
      </w:r>
      <w:r>
        <w:rPr>
          <w:rFonts w:hint="eastAsia" w:ascii="宋体" w:hAnsi="宋体" w:cs="宋体"/>
          <w:b/>
          <w:sz w:val="24"/>
          <w:szCs w:val="24"/>
          <w:highlight w:val="none"/>
        </w:rPr>
        <w:t>第一部分  招标公告</w:t>
      </w:r>
      <w:r>
        <w:rPr>
          <w:rFonts w:hint="eastAsia" w:ascii="宋体" w:hAnsi="宋体" w:cs="宋体"/>
          <w:b/>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_Toc14268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3</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p>
    <w:p w14:paraId="0F91A124">
      <w:pPr>
        <w:pStyle w:val="391"/>
        <w:tabs>
          <w:tab w:val="right" w:leader="dot" w:pos="8844"/>
        </w:tabs>
        <w:spacing w:line="440" w:lineRule="exact"/>
        <w:rPr>
          <w:rFonts w:hint="eastAsia" w:ascii="宋体" w:hAnsi="宋体" w:cs="宋体"/>
          <w:sz w:val="24"/>
          <w:szCs w:val="24"/>
          <w:highlight w:val="none"/>
        </w:rPr>
      </w:pPr>
      <w:r>
        <w:rPr>
          <w:highlight w:val="none"/>
        </w:rPr>
        <w:fldChar w:fldCharType="begin"/>
      </w:r>
      <w:r>
        <w:rPr>
          <w:highlight w:val="none"/>
        </w:rPr>
        <w:instrText xml:space="preserve"> HYPERLINK \l "_Toc1881" </w:instrText>
      </w:r>
      <w:r>
        <w:rPr>
          <w:highlight w:val="none"/>
        </w:rPr>
        <w:fldChar w:fldCharType="separate"/>
      </w:r>
      <w:r>
        <w:rPr>
          <w:rFonts w:hint="eastAsia" w:ascii="宋体" w:hAnsi="宋体" w:cs="宋体"/>
          <w:b/>
          <w:sz w:val="24"/>
          <w:szCs w:val="24"/>
          <w:highlight w:val="none"/>
        </w:rPr>
        <w:t>第二部分  投标人须知</w:t>
      </w:r>
      <w:r>
        <w:rPr>
          <w:rFonts w:hint="eastAsia" w:ascii="宋体" w:hAnsi="宋体" w:cs="宋体"/>
          <w:b/>
          <w:sz w:val="24"/>
          <w:szCs w:val="24"/>
          <w:highlight w:val="none"/>
        </w:rPr>
        <w:tab/>
      </w:r>
      <w:r>
        <w:rPr>
          <w:rFonts w:hint="eastAsia" w:ascii="宋体" w:hAnsi="宋体" w:cs="宋体"/>
          <w:sz w:val="24"/>
          <w:szCs w:val="24"/>
          <w:highlight w:val="none"/>
        </w:rPr>
        <w:t>7</w:t>
      </w:r>
      <w:r>
        <w:rPr>
          <w:rFonts w:hint="eastAsia" w:ascii="宋体" w:hAnsi="宋体" w:cs="宋体"/>
          <w:sz w:val="24"/>
          <w:szCs w:val="24"/>
          <w:highlight w:val="none"/>
        </w:rPr>
        <w:fldChar w:fldCharType="end"/>
      </w:r>
    </w:p>
    <w:p w14:paraId="36E77644">
      <w:pPr>
        <w:pStyle w:val="391"/>
        <w:tabs>
          <w:tab w:val="right" w:leader="dot" w:pos="8844"/>
        </w:tabs>
        <w:spacing w:line="440" w:lineRule="exact"/>
        <w:rPr>
          <w:rFonts w:hint="eastAsia" w:ascii="宋体" w:hAnsi="宋体" w:cs="宋体"/>
          <w:b/>
          <w:sz w:val="24"/>
          <w:szCs w:val="24"/>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cs="宋体"/>
          <w:b/>
          <w:sz w:val="24"/>
          <w:szCs w:val="24"/>
          <w:highlight w:val="none"/>
        </w:rPr>
        <w:t>第三部分  评标方法和标准</w:t>
      </w:r>
      <w:r>
        <w:rPr>
          <w:rFonts w:hint="eastAsia" w:ascii="宋体" w:hAnsi="宋体" w:cs="宋体"/>
          <w:b/>
          <w:sz w:val="24"/>
          <w:szCs w:val="24"/>
          <w:highlight w:val="none"/>
        </w:rPr>
        <w:tab/>
      </w:r>
      <w:r>
        <w:rPr>
          <w:rFonts w:hint="eastAsia" w:ascii="宋体" w:hAnsi="宋体" w:cs="宋体"/>
          <w:sz w:val="24"/>
          <w:szCs w:val="24"/>
          <w:highlight w:val="none"/>
        </w:rPr>
        <w:t>2</w:t>
      </w:r>
      <w:r>
        <w:rPr>
          <w:rFonts w:hint="eastAsia" w:ascii="宋体" w:hAnsi="宋体" w:cs="宋体"/>
          <w:sz w:val="24"/>
          <w:szCs w:val="24"/>
          <w:highlight w:val="none"/>
        </w:rPr>
        <w:fldChar w:fldCharType="end"/>
      </w:r>
      <w:r>
        <w:rPr>
          <w:rFonts w:hint="eastAsia" w:ascii="宋体" w:hAnsi="宋体" w:cs="宋体"/>
          <w:bCs/>
          <w:sz w:val="24"/>
          <w:szCs w:val="24"/>
          <w:highlight w:val="none"/>
        </w:rPr>
        <w:t>4</w:t>
      </w:r>
    </w:p>
    <w:p w14:paraId="39149CB5">
      <w:pPr>
        <w:pStyle w:val="391"/>
        <w:tabs>
          <w:tab w:val="right" w:leader="dot" w:pos="8844"/>
        </w:tabs>
        <w:spacing w:line="440" w:lineRule="exact"/>
        <w:rPr>
          <w:rFonts w:hint="eastAsia" w:ascii="宋体" w:hAnsi="宋体" w:cs="宋体"/>
          <w:sz w:val="24"/>
          <w:szCs w:val="24"/>
          <w:highlight w:val="none"/>
        </w:rPr>
      </w:pPr>
      <w:r>
        <w:rPr>
          <w:highlight w:val="none"/>
        </w:rPr>
        <w:fldChar w:fldCharType="begin"/>
      </w:r>
      <w:r>
        <w:rPr>
          <w:highlight w:val="none"/>
        </w:rPr>
        <w:instrText xml:space="preserve"> HYPERLINK \l "_Toc1505" </w:instrText>
      </w:r>
      <w:r>
        <w:rPr>
          <w:highlight w:val="none"/>
        </w:rPr>
        <w:fldChar w:fldCharType="separate"/>
      </w:r>
      <w:r>
        <w:rPr>
          <w:rFonts w:hint="eastAsia" w:ascii="宋体" w:hAnsi="宋体" w:cs="宋体"/>
          <w:b/>
          <w:sz w:val="24"/>
          <w:szCs w:val="24"/>
          <w:highlight w:val="none"/>
        </w:rPr>
        <w:t>第四部分  采购需求</w:t>
      </w:r>
      <w:r>
        <w:rPr>
          <w:rFonts w:hint="eastAsia" w:ascii="宋体" w:hAnsi="宋体" w:cs="宋体"/>
          <w:b/>
          <w:sz w:val="24"/>
          <w:szCs w:val="24"/>
          <w:highlight w:val="none"/>
        </w:rPr>
        <w:tab/>
      </w:r>
      <w:r>
        <w:rPr>
          <w:rFonts w:hint="eastAsia" w:ascii="宋体" w:hAnsi="宋体" w:cs="宋体"/>
          <w:sz w:val="24"/>
          <w:szCs w:val="24"/>
          <w:highlight w:val="none"/>
        </w:rPr>
        <w:t>2</w:t>
      </w:r>
      <w:r>
        <w:rPr>
          <w:rFonts w:hint="eastAsia" w:ascii="宋体" w:hAnsi="宋体" w:cs="宋体"/>
          <w:sz w:val="24"/>
          <w:szCs w:val="24"/>
          <w:highlight w:val="none"/>
        </w:rPr>
        <w:fldChar w:fldCharType="end"/>
      </w:r>
      <w:r>
        <w:rPr>
          <w:rFonts w:hint="eastAsia" w:ascii="宋体" w:hAnsi="宋体" w:cs="宋体"/>
          <w:bCs/>
          <w:sz w:val="24"/>
          <w:szCs w:val="24"/>
          <w:highlight w:val="none"/>
        </w:rPr>
        <w:t>9</w:t>
      </w:r>
    </w:p>
    <w:p w14:paraId="38B4FD8D">
      <w:pPr>
        <w:pStyle w:val="391"/>
        <w:tabs>
          <w:tab w:val="right" w:leader="dot" w:pos="8844"/>
        </w:tabs>
        <w:spacing w:line="440" w:lineRule="exact"/>
        <w:rPr>
          <w:rFonts w:hint="eastAsia" w:ascii="宋体" w:hAnsi="宋体" w:cs="宋体"/>
          <w:b/>
          <w:sz w:val="24"/>
          <w:szCs w:val="24"/>
          <w:highlight w:val="none"/>
        </w:rPr>
      </w:pPr>
      <w:r>
        <w:rPr>
          <w:highlight w:val="none"/>
        </w:rPr>
        <w:fldChar w:fldCharType="begin"/>
      </w:r>
      <w:r>
        <w:rPr>
          <w:highlight w:val="none"/>
        </w:rPr>
        <w:instrText xml:space="preserve"> HYPERLINK \l "_Toc9306" </w:instrText>
      </w:r>
      <w:r>
        <w:rPr>
          <w:highlight w:val="none"/>
        </w:rPr>
        <w:fldChar w:fldCharType="separate"/>
      </w:r>
      <w:r>
        <w:rPr>
          <w:rFonts w:hint="eastAsia" w:ascii="宋体" w:hAnsi="宋体" w:cs="宋体"/>
          <w:b/>
          <w:sz w:val="24"/>
          <w:szCs w:val="24"/>
          <w:highlight w:val="none"/>
        </w:rPr>
        <w:t>第五部分  合同格式及条款</w:t>
      </w:r>
      <w:r>
        <w:rPr>
          <w:rFonts w:hint="eastAsia" w:ascii="宋体" w:hAnsi="宋体" w:cs="宋体"/>
          <w:b/>
          <w:sz w:val="24"/>
          <w:szCs w:val="24"/>
          <w:highlight w:val="none"/>
        </w:rPr>
        <w:tab/>
      </w:r>
      <w:r>
        <w:rPr>
          <w:rFonts w:hint="eastAsia" w:ascii="宋体" w:hAnsi="宋体" w:cs="宋体"/>
          <w:sz w:val="24"/>
          <w:szCs w:val="24"/>
          <w:highlight w:val="none"/>
        </w:rPr>
        <w:t>3</w:t>
      </w:r>
      <w:r>
        <w:rPr>
          <w:rFonts w:hint="eastAsia" w:ascii="宋体" w:hAnsi="宋体" w:cs="宋体"/>
          <w:sz w:val="24"/>
          <w:szCs w:val="24"/>
          <w:highlight w:val="none"/>
        </w:rPr>
        <w:fldChar w:fldCharType="end"/>
      </w:r>
      <w:r>
        <w:rPr>
          <w:rFonts w:hint="eastAsia" w:ascii="宋体" w:hAnsi="宋体" w:cs="宋体"/>
          <w:sz w:val="24"/>
          <w:szCs w:val="24"/>
          <w:highlight w:val="none"/>
        </w:rPr>
        <w:t>8</w:t>
      </w:r>
    </w:p>
    <w:p w14:paraId="5E9291CA">
      <w:pPr>
        <w:pStyle w:val="391"/>
        <w:tabs>
          <w:tab w:val="right" w:leader="dot" w:pos="8844"/>
        </w:tabs>
        <w:spacing w:line="440" w:lineRule="exact"/>
        <w:rPr>
          <w:rFonts w:hint="eastAsia" w:ascii="宋体" w:hAnsi="宋体" w:cs="宋体"/>
          <w:b/>
          <w:sz w:val="24"/>
          <w:szCs w:val="24"/>
          <w:highlight w:val="none"/>
        </w:rPr>
      </w:pPr>
      <w:r>
        <w:rPr>
          <w:highlight w:val="none"/>
        </w:rPr>
        <w:fldChar w:fldCharType="begin"/>
      </w:r>
      <w:r>
        <w:rPr>
          <w:highlight w:val="none"/>
        </w:rPr>
        <w:instrText xml:space="preserve"> HYPERLINK \l "_Toc12366" </w:instrText>
      </w:r>
      <w:r>
        <w:rPr>
          <w:highlight w:val="none"/>
        </w:rPr>
        <w:fldChar w:fldCharType="separate"/>
      </w:r>
      <w:r>
        <w:rPr>
          <w:rFonts w:hint="eastAsia" w:ascii="宋体" w:hAnsi="宋体" w:cs="宋体"/>
          <w:b/>
          <w:sz w:val="24"/>
          <w:szCs w:val="24"/>
          <w:highlight w:val="none"/>
        </w:rPr>
        <w:t>第六部分  投标文件格式</w:t>
      </w:r>
      <w:r>
        <w:rPr>
          <w:rFonts w:hint="eastAsia" w:ascii="宋体" w:hAnsi="宋体" w:cs="宋体"/>
          <w:b/>
          <w:sz w:val="24"/>
          <w:szCs w:val="24"/>
          <w:highlight w:val="none"/>
        </w:rPr>
        <w:tab/>
      </w:r>
      <w:r>
        <w:rPr>
          <w:rFonts w:hint="eastAsia" w:ascii="宋体" w:hAnsi="宋体" w:cs="宋体"/>
          <w:b/>
          <w:sz w:val="24"/>
          <w:szCs w:val="24"/>
          <w:highlight w:val="none"/>
        </w:rPr>
        <w:fldChar w:fldCharType="end"/>
      </w:r>
      <w:r>
        <w:rPr>
          <w:rFonts w:hint="eastAsia" w:ascii="宋体" w:hAnsi="宋体" w:cs="宋体"/>
          <w:bCs/>
          <w:sz w:val="24"/>
          <w:szCs w:val="24"/>
          <w:highlight w:val="none"/>
        </w:rPr>
        <w:t>50</w:t>
      </w:r>
    </w:p>
    <w:p w14:paraId="04C4A915">
      <w:pPr>
        <w:pStyle w:val="438"/>
        <w:tabs>
          <w:tab w:val="right" w:leader="dot" w:pos="8844"/>
        </w:tabs>
        <w:spacing w:line="440" w:lineRule="exact"/>
        <w:ind w:left="420"/>
        <w:rPr>
          <w:rFonts w:hint="eastAsia" w:ascii="宋体" w:hAnsi="宋体" w:cs="宋体"/>
          <w:sz w:val="24"/>
          <w:szCs w:val="24"/>
          <w:highlight w:val="none"/>
        </w:rPr>
      </w:pPr>
    </w:p>
    <w:p w14:paraId="1C463D8E">
      <w:pPr>
        <w:tabs>
          <w:tab w:val="left" w:pos="5655"/>
        </w:tabs>
        <w:jc w:val="left"/>
        <w:rPr>
          <w:highlight w:val="none"/>
        </w:rPr>
      </w:pPr>
      <w:r>
        <w:rPr>
          <w:rFonts w:hint="eastAsia"/>
          <w:highlight w:val="none"/>
        </w:rPr>
        <w:tab/>
      </w:r>
    </w:p>
    <w:p w14:paraId="533FD58A">
      <w:pPr>
        <w:keepNext/>
        <w:keepLines/>
        <w:pageBreakBefore/>
        <w:jc w:val="center"/>
        <w:outlineLvl w:val="0"/>
        <w:rPr>
          <w:b/>
          <w:sz w:val="32"/>
          <w:highlight w:val="none"/>
        </w:rPr>
      </w:pPr>
      <w:r>
        <w:rPr>
          <w:rFonts w:hint="eastAsia" w:ascii="宋体" w:hAnsi="宋体" w:cs="宋体"/>
          <w:b/>
          <w:sz w:val="24"/>
          <w:szCs w:val="24"/>
          <w:highlight w:val="none"/>
        </w:rPr>
        <w:fldChar w:fldCharType="end"/>
      </w:r>
      <w:bookmarkStart w:id="2" w:name="_Toc14268"/>
      <w:bookmarkStart w:id="3" w:name="_Toc514054470"/>
      <w:r>
        <w:rPr>
          <w:rFonts w:hint="eastAsia"/>
          <w:b/>
          <w:sz w:val="44"/>
          <w:szCs w:val="44"/>
          <w:highlight w:val="none"/>
        </w:rPr>
        <w:t>第一部分  招标公告</w:t>
      </w:r>
      <w:bookmarkEnd w:id="2"/>
      <w:bookmarkEnd w:id="3"/>
    </w:p>
    <w:tbl>
      <w:tblPr>
        <w:tblStyle w:val="3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CD19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noWrap w:val="0"/>
          </w:tcPr>
          <w:p w14:paraId="3C668BD2">
            <w:pPr>
              <w:spacing w:line="480" w:lineRule="auto"/>
              <w:rPr>
                <w:rFonts w:hint="eastAsia" w:ascii="宋体" w:hAnsi="宋体" w:cs="宋体"/>
                <w:sz w:val="24"/>
                <w:szCs w:val="24"/>
                <w:highlight w:val="none"/>
              </w:rPr>
            </w:pPr>
            <w:r>
              <w:rPr>
                <w:rFonts w:hint="eastAsia" w:ascii="宋体" w:hAnsi="宋体" w:cs="宋体"/>
                <w:sz w:val="24"/>
                <w:szCs w:val="24"/>
                <w:highlight w:val="none"/>
              </w:rPr>
              <w:t>项目概况</w:t>
            </w:r>
          </w:p>
          <w:p w14:paraId="5B2CED84">
            <w:pPr>
              <w:spacing w:line="360" w:lineRule="auto"/>
              <w:ind w:firstLine="240"/>
              <w:rPr>
                <w:rFonts w:hint="eastAsia" w:ascii="宋体" w:hAnsi="宋体" w:cs="宋体"/>
                <w:sz w:val="24"/>
                <w:szCs w:val="24"/>
                <w:highlight w:val="none"/>
              </w:rPr>
            </w:pPr>
            <w:r>
              <w:rPr>
                <w:rFonts w:hint="eastAsia" w:ascii="宋体" w:hAnsi="宋体" w:cs="宋体"/>
                <w:sz w:val="24"/>
                <w:szCs w:val="24"/>
                <w:highlight w:val="none"/>
              </w:rPr>
              <w:t>南京市第一医院</w:t>
            </w:r>
            <w:r>
              <w:rPr>
                <w:rFonts w:hint="eastAsia" w:ascii="宋体" w:hAnsi="宋体" w:cs="宋体"/>
                <w:sz w:val="24"/>
                <w:szCs w:val="24"/>
                <w:highlight w:val="none"/>
                <w:lang w:eastAsia="zh-CN"/>
              </w:rPr>
              <w:t>X射线计算机体层摄影设备（双源CT）维保</w:t>
            </w:r>
            <w:r>
              <w:rPr>
                <w:rFonts w:hint="eastAsia" w:ascii="宋体" w:hAnsi="宋体" w:cs="宋体"/>
                <w:sz w:val="24"/>
                <w:szCs w:val="24"/>
                <w:highlight w:val="none"/>
              </w:rPr>
              <w:t>采购项目的潜在投标人应在</w:t>
            </w:r>
            <w:bookmarkStart w:id="4" w:name="OLE_LINK1"/>
            <w:r>
              <w:rPr>
                <w:rFonts w:hint="eastAsia" w:ascii="宋体" w:hAnsi="宋体" w:cs="宋体"/>
                <w:sz w:val="24"/>
                <w:szCs w:val="24"/>
                <w:highlight w:val="none"/>
              </w:rPr>
              <w:t>江苏政府采购网-苏采云平台http://jszfcg.jscz.gov.cn/jszc/login</w:t>
            </w:r>
            <w:bookmarkEnd w:id="4"/>
            <w:r>
              <w:rPr>
                <w:rFonts w:hint="eastAsia" w:ascii="宋体" w:hAnsi="宋体" w:cs="宋体"/>
                <w:sz w:val="24"/>
                <w:szCs w:val="24"/>
                <w:highlight w:val="none"/>
              </w:rPr>
              <w:t>上获取招标文件，并于202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 </w:t>
            </w:r>
            <w:r>
              <w:rPr>
                <w:rFonts w:hint="eastAsia" w:ascii="宋体" w:hAnsi="宋体" w:cs="宋体"/>
                <w:sz w:val="24"/>
                <w:szCs w:val="24"/>
                <w:highlight w:val="none"/>
                <w:lang w:val="en-US" w:eastAsia="zh-CN"/>
              </w:rPr>
              <w:t>2</w:t>
            </w:r>
            <w:r>
              <w:rPr>
                <w:rFonts w:hint="eastAsia" w:ascii="宋体" w:hAnsi="宋体" w:cs="宋体"/>
                <w:sz w:val="24"/>
                <w:szCs w:val="24"/>
                <w:highlight w:val="none"/>
              </w:rPr>
              <w:t>月</w:t>
            </w:r>
            <w:r>
              <w:rPr>
                <w:rFonts w:hint="eastAsia" w:ascii="宋体" w:hAnsi="宋体" w:cs="宋体"/>
                <w:sz w:val="24"/>
                <w:szCs w:val="24"/>
                <w:highlight w:val="none"/>
                <w:lang w:val="en-US" w:eastAsia="zh-CN"/>
              </w:rPr>
              <w:t>12</w:t>
            </w:r>
            <w:r>
              <w:rPr>
                <w:rFonts w:hint="eastAsia" w:ascii="宋体" w:hAnsi="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cs="宋体"/>
                <w:sz w:val="24"/>
                <w:szCs w:val="24"/>
                <w:highlight w:val="none"/>
              </w:rPr>
              <w:t>点30分（北京时间）前递交投标文件。</w:t>
            </w:r>
          </w:p>
        </w:tc>
      </w:tr>
    </w:tbl>
    <w:p w14:paraId="6BF3B3D2">
      <w:pPr>
        <w:pStyle w:val="468"/>
        <w:tabs>
          <w:tab w:val="left" w:pos="1134"/>
          <w:tab w:val="left" w:pos="5612"/>
        </w:tabs>
        <w:spacing w:line="312" w:lineRule="auto"/>
        <w:ind w:firstLine="480"/>
        <w:outlineLvl w:val="1"/>
        <w:rPr>
          <w:rFonts w:hint="eastAsia" w:ascii="宋体" w:hAnsi="宋体" w:cs="宋体"/>
          <w:sz w:val="24"/>
          <w:szCs w:val="24"/>
          <w:highlight w:val="none"/>
        </w:rPr>
      </w:pPr>
      <w:bookmarkStart w:id="5" w:name="_Toc2298"/>
      <w:r>
        <w:rPr>
          <w:rFonts w:hint="eastAsia" w:ascii="宋体" w:hAnsi="宋体" w:cs="宋体"/>
          <w:b/>
          <w:bCs/>
          <w:sz w:val="24"/>
          <w:szCs w:val="24"/>
          <w:highlight w:val="none"/>
        </w:rPr>
        <w:t>一、项目基本情况</w:t>
      </w:r>
      <w:bookmarkEnd w:id="5"/>
      <w:r>
        <w:rPr>
          <w:rFonts w:hint="eastAsia" w:ascii="宋体" w:hAnsi="宋体" w:cs="宋体"/>
          <w:sz w:val="24"/>
          <w:szCs w:val="24"/>
          <w:highlight w:val="none"/>
        </w:rPr>
        <w:t xml:space="preserve">  </w:t>
      </w:r>
      <w:r>
        <w:rPr>
          <w:rFonts w:hint="eastAsia" w:ascii="宋体" w:hAnsi="宋体" w:cs="宋体"/>
          <w:sz w:val="24"/>
          <w:szCs w:val="24"/>
          <w:highlight w:val="none"/>
        </w:rPr>
        <w:tab/>
      </w:r>
    </w:p>
    <w:p w14:paraId="3F58D441">
      <w:pPr>
        <w:spacing w:line="360" w:lineRule="auto"/>
        <w:ind w:left="420" w:firstLine="420"/>
        <w:rPr>
          <w:rFonts w:hint="eastAsia" w:ascii="宋体" w:hAnsi="宋体" w:cs="宋体"/>
          <w:sz w:val="22"/>
          <w:szCs w:val="22"/>
          <w:highlight w:val="none"/>
        </w:rPr>
      </w:pPr>
      <w:bookmarkStart w:id="6" w:name="_Toc3038"/>
      <w:r>
        <w:rPr>
          <w:rFonts w:hint="eastAsia" w:ascii="宋体" w:hAnsi="宋体" w:cs="宋体"/>
          <w:sz w:val="22"/>
          <w:szCs w:val="22"/>
          <w:highlight w:val="none"/>
        </w:rPr>
        <w:t>1.项目编号：JSZC-320100-JSHY-G2026-0018</w:t>
      </w:r>
    </w:p>
    <w:p w14:paraId="46B4F548">
      <w:pPr>
        <w:spacing w:line="360" w:lineRule="auto"/>
        <w:ind w:left="420" w:firstLine="420"/>
        <w:rPr>
          <w:rFonts w:hint="eastAsia" w:ascii="宋体" w:hAnsi="宋体" w:cs="宋体"/>
          <w:sz w:val="22"/>
          <w:szCs w:val="22"/>
          <w:highlight w:val="none"/>
          <w:lang w:val="zh-CN"/>
        </w:rPr>
      </w:pPr>
      <w:r>
        <w:rPr>
          <w:rFonts w:hint="eastAsia" w:ascii="宋体" w:hAnsi="宋体" w:cs="宋体"/>
          <w:sz w:val="22"/>
          <w:szCs w:val="22"/>
          <w:highlight w:val="none"/>
        </w:rPr>
        <w:t>2.项目名称：</w:t>
      </w:r>
      <w:r>
        <w:rPr>
          <w:rFonts w:hint="eastAsia" w:ascii="宋体" w:hAnsi="宋体" w:cs="宋体"/>
          <w:sz w:val="22"/>
          <w:szCs w:val="22"/>
          <w:highlight w:val="none"/>
          <w:lang w:val="zh-CN"/>
        </w:rPr>
        <w:t>南京市第一医院X射线计算机体层摄影设备（双源CT）维保采购项目</w:t>
      </w:r>
    </w:p>
    <w:p w14:paraId="079EC032">
      <w:pPr>
        <w:spacing w:line="360" w:lineRule="auto"/>
        <w:ind w:firstLine="840"/>
        <w:rPr>
          <w:rFonts w:hint="default" w:ascii="宋体" w:hAnsi="宋体" w:eastAsia="宋体" w:cs="宋体"/>
          <w:sz w:val="22"/>
          <w:szCs w:val="22"/>
          <w:highlight w:val="none"/>
          <w:lang w:val="en-US" w:eastAsia="zh-CN"/>
        </w:rPr>
      </w:pPr>
      <w:r>
        <w:rPr>
          <w:rFonts w:hint="eastAsia" w:ascii="宋体" w:hAnsi="宋体" w:cs="宋体"/>
          <w:sz w:val="22"/>
          <w:szCs w:val="22"/>
          <w:highlight w:val="none"/>
        </w:rPr>
        <w:t>3.采购方式：</w:t>
      </w:r>
      <w:r>
        <w:rPr>
          <w:rFonts w:hint="eastAsia" w:ascii="宋体" w:hAnsi="宋体" w:cs="宋体"/>
          <w:sz w:val="22"/>
          <w:szCs w:val="22"/>
          <w:highlight w:val="none"/>
          <w:lang w:val="en-US" w:eastAsia="zh-CN"/>
        </w:rPr>
        <w:t>公开招标</w:t>
      </w:r>
    </w:p>
    <w:p w14:paraId="3F38A9B2">
      <w:pPr>
        <w:spacing w:line="360" w:lineRule="auto"/>
        <w:ind w:left="420" w:firstLine="420"/>
        <w:rPr>
          <w:rFonts w:hint="eastAsia" w:ascii="宋体" w:hAnsi="宋体" w:cs="宋体"/>
          <w:sz w:val="22"/>
          <w:szCs w:val="22"/>
          <w:highlight w:val="none"/>
          <w:lang w:val="zh-CN"/>
        </w:rPr>
      </w:pPr>
      <w:r>
        <w:rPr>
          <w:rFonts w:hint="eastAsia" w:ascii="宋体" w:hAnsi="宋体" w:cs="宋体"/>
          <w:sz w:val="22"/>
          <w:szCs w:val="22"/>
          <w:highlight w:val="none"/>
        </w:rPr>
        <w:t>4.</w:t>
      </w:r>
      <w:r>
        <w:rPr>
          <w:rFonts w:hint="eastAsia" w:ascii="宋体" w:hAnsi="宋体" w:cs="宋体"/>
          <w:sz w:val="22"/>
          <w:szCs w:val="22"/>
          <w:highlight w:val="none"/>
          <w:lang w:val="zh-CN"/>
        </w:rPr>
        <w:t>预算金额：</w:t>
      </w:r>
      <w:r>
        <w:rPr>
          <w:rFonts w:hint="eastAsia" w:ascii="宋体" w:hAnsi="宋体" w:cs="宋体"/>
          <w:sz w:val="22"/>
          <w:szCs w:val="22"/>
          <w:highlight w:val="none"/>
          <w:lang w:val="en-US" w:eastAsia="zh-CN"/>
        </w:rPr>
        <w:t>420</w:t>
      </w:r>
      <w:r>
        <w:rPr>
          <w:rFonts w:hint="eastAsia" w:ascii="宋体" w:hAnsi="宋体" w:cs="宋体"/>
          <w:sz w:val="22"/>
          <w:szCs w:val="22"/>
          <w:highlight w:val="none"/>
        </w:rPr>
        <w:t>.00</w:t>
      </w:r>
      <w:r>
        <w:rPr>
          <w:rFonts w:hint="eastAsia" w:ascii="宋体" w:hAnsi="宋体" w:cs="宋体"/>
          <w:sz w:val="22"/>
          <w:szCs w:val="22"/>
          <w:highlight w:val="none"/>
          <w:lang w:val="zh-CN"/>
        </w:rPr>
        <w:t>万元</w:t>
      </w:r>
    </w:p>
    <w:p w14:paraId="721BF864">
      <w:pPr>
        <w:spacing w:line="360" w:lineRule="auto"/>
        <w:ind w:left="420" w:firstLine="420"/>
        <w:rPr>
          <w:rFonts w:hint="eastAsia" w:ascii="宋体" w:hAnsi="宋体" w:cs="宋体"/>
          <w:sz w:val="22"/>
          <w:szCs w:val="22"/>
          <w:highlight w:val="none"/>
          <w:lang w:val="zh-CN"/>
        </w:rPr>
      </w:pPr>
      <w:r>
        <w:rPr>
          <w:rFonts w:hint="eastAsia" w:ascii="宋体" w:hAnsi="宋体" w:cs="宋体"/>
          <w:sz w:val="22"/>
          <w:szCs w:val="22"/>
          <w:highlight w:val="none"/>
        </w:rPr>
        <w:t>5.</w:t>
      </w:r>
      <w:r>
        <w:rPr>
          <w:rFonts w:hint="eastAsia" w:ascii="宋体" w:hAnsi="宋体" w:cs="宋体"/>
          <w:sz w:val="22"/>
          <w:szCs w:val="22"/>
          <w:highlight w:val="none"/>
          <w:lang w:val="zh-CN"/>
        </w:rPr>
        <w:t>最高限价：</w:t>
      </w:r>
      <w:r>
        <w:rPr>
          <w:rFonts w:hint="eastAsia" w:ascii="宋体" w:hAnsi="宋体" w:cs="宋体"/>
          <w:sz w:val="22"/>
          <w:szCs w:val="22"/>
          <w:highlight w:val="none"/>
          <w:lang w:val="en-US" w:eastAsia="zh-CN"/>
        </w:rPr>
        <w:t>420</w:t>
      </w:r>
      <w:r>
        <w:rPr>
          <w:rFonts w:hint="eastAsia" w:ascii="宋体" w:hAnsi="宋体" w:cs="宋体"/>
          <w:sz w:val="22"/>
          <w:szCs w:val="22"/>
          <w:highlight w:val="none"/>
        </w:rPr>
        <w:t>.00万元</w:t>
      </w:r>
    </w:p>
    <w:p w14:paraId="7704A562">
      <w:pPr>
        <w:widowControl/>
        <w:spacing w:line="360" w:lineRule="auto"/>
        <w:ind w:left="420" w:firstLine="420"/>
        <w:jc w:val="left"/>
        <w:rPr>
          <w:rFonts w:hint="eastAsia" w:ascii="宋体" w:hAnsi="宋体" w:cs="宋体"/>
          <w:sz w:val="22"/>
          <w:szCs w:val="22"/>
          <w:highlight w:val="none"/>
        </w:rPr>
      </w:pPr>
      <w:r>
        <w:rPr>
          <w:rFonts w:hint="eastAsia" w:ascii="宋体" w:hAnsi="宋体" w:cs="宋体"/>
          <w:sz w:val="22"/>
          <w:szCs w:val="22"/>
          <w:highlight w:val="none"/>
        </w:rPr>
        <w:t>6.采购需求：南京市第一医院</w:t>
      </w:r>
      <w:r>
        <w:rPr>
          <w:rFonts w:hint="eastAsia" w:ascii="宋体" w:hAnsi="宋体" w:cs="宋体"/>
          <w:sz w:val="22"/>
          <w:szCs w:val="22"/>
          <w:highlight w:val="none"/>
          <w:lang w:eastAsia="zh-CN"/>
        </w:rPr>
        <w:t>X射线计算机体层摄影设备（双源CT）维保</w:t>
      </w:r>
      <w:r>
        <w:rPr>
          <w:rFonts w:hint="eastAsia" w:ascii="宋体" w:hAnsi="宋体" w:cs="宋体"/>
          <w:sz w:val="22"/>
          <w:szCs w:val="22"/>
          <w:highlight w:val="none"/>
        </w:rPr>
        <w:t>采购项目</w:t>
      </w:r>
      <w:r>
        <w:rPr>
          <w:rFonts w:hint="eastAsia" w:ascii="宋体" w:hAnsi="宋体" w:cs="宋体"/>
          <w:sz w:val="22"/>
          <w:szCs w:val="22"/>
          <w:highlight w:val="none"/>
          <w:lang w:val="zh-CN"/>
        </w:rPr>
        <w:t>，维保期3年。</w:t>
      </w:r>
    </w:p>
    <w:p w14:paraId="30A00E40">
      <w:pPr>
        <w:spacing w:line="360" w:lineRule="auto"/>
        <w:ind w:left="420" w:firstLine="420"/>
        <w:rPr>
          <w:rFonts w:hint="eastAsia" w:ascii="宋体" w:hAnsi="宋体" w:cs="宋体"/>
          <w:sz w:val="22"/>
          <w:szCs w:val="22"/>
          <w:highlight w:val="none"/>
          <w:u w:val="single"/>
        </w:rPr>
      </w:pPr>
      <w:r>
        <w:rPr>
          <w:rFonts w:hint="eastAsia" w:ascii="宋体" w:hAnsi="宋体" w:cs="宋体"/>
          <w:sz w:val="22"/>
          <w:szCs w:val="22"/>
          <w:highlight w:val="none"/>
        </w:rPr>
        <w:t>7.合同履行期限：</w:t>
      </w:r>
      <w:r>
        <w:rPr>
          <w:rFonts w:hint="eastAsia" w:ascii="宋体" w:hAnsi="宋体" w:cs="宋体"/>
          <w:sz w:val="22"/>
          <w:szCs w:val="22"/>
          <w:highlight w:val="none"/>
          <w:lang w:val="zh-CN"/>
        </w:rPr>
        <w:t>服务期3年</w:t>
      </w:r>
    </w:p>
    <w:p w14:paraId="0C8974DE">
      <w:pPr>
        <w:spacing w:line="360" w:lineRule="auto"/>
        <w:ind w:left="420" w:firstLine="420"/>
        <w:rPr>
          <w:rFonts w:hint="eastAsia" w:ascii="宋体" w:hAnsi="宋体" w:cs="宋体"/>
          <w:sz w:val="22"/>
          <w:szCs w:val="22"/>
          <w:highlight w:val="none"/>
        </w:rPr>
      </w:pPr>
      <w:r>
        <w:rPr>
          <w:rFonts w:hint="eastAsia" w:ascii="宋体" w:hAnsi="宋体" w:cs="宋体"/>
          <w:sz w:val="22"/>
          <w:szCs w:val="22"/>
          <w:highlight w:val="none"/>
        </w:rPr>
        <w:t>8.本项目不接收联合体响应。</w:t>
      </w:r>
    </w:p>
    <w:p w14:paraId="7756B199">
      <w:pPr>
        <w:pStyle w:val="468"/>
        <w:tabs>
          <w:tab w:val="left" w:pos="1134"/>
        </w:tabs>
        <w:spacing w:line="312" w:lineRule="auto"/>
        <w:ind w:left="567" w:firstLine="0"/>
        <w:outlineLvl w:val="1"/>
        <w:rPr>
          <w:rFonts w:hint="eastAsia" w:ascii="宋体" w:hAnsi="宋体" w:cs="宋体"/>
          <w:b/>
          <w:bCs/>
          <w:sz w:val="24"/>
          <w:szCs w:val="24"/>
          <w:highlight w:val="none"/>
        </w:rPr>
      </w:pPr>
      <w:r>
        <w:rPr>
          <w:rFonts w:hint="eastAsia" w:ascii="宋体" w:hAnsi="宋体" w:cs="宋体"/>
          <w:b/>
          <w:bCs/>
          <w:sz w:val="24"/>
          <w:szCs w:val="24"/>
          <w:highlight w:val="none"/>
        </w:rPr>
        <w:t>二、申请人的资格要求：</w:t>
      </w:r>
      <w:bookmarkEnd w:id="6"/>
    </w:p>
    <w:p w14:paraId="07DCFE4B">
      <w:pPr>
        <w:pStyle w:val="504"/>
        <w:spacing w:line="329" w:lineRule="auto"/>
        <w:ind w:left="709" w:firstLine="0"/>
        <w:outlineLvl w:val="2"/>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3F382761">
      <w:pPr>
        <w:spacing w:line="329" w:lineRule="auto"/>
        <w:ind w:left="1134"/>
        <w:rPr>
          <w:rFonts w:hint="eastAsia" w:ascii="宋体" w:hAnsi="宋体" w:cs="宋体"/>
          <w:sz w:val="24"/>
          <w:szCs w:val="24"/>
          <w:highlight w:val="none"/>
        </w:rPr>
      </w:pPr>
      <w:r>
        <w:rPr>
          <w:rFonts w:hint="eastAsia" w:ascii="宋体" w:hAnsi="宋体" w:cs="宋体"/>
          <w:sz w:val="24"/>
          <w:szCs w:val="24"/>
          <w:highlight w:val="none"/>
        </w:rPr>
        <w:t>1）具有独立承担民事责任的能力（提供法人或者其他组织的营业执照等证明文件；供应商为自然人的，提供其身份证）；</w:t>
      </w:r>
    </w:p>
    <w:p w14:paraId="7CEB0E8A">
      <w:pPr>
        <w:spacing w:line="329" w:lineRule="auto"/>
        <w:ind w:left="1134"/>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w:t>
      </w:r>
      <w:r>
        <w:rPr>
          <w:rFonts w:hint="eastAsia" w:ascii="宋体" w:hAnsi="宋体" w:cs="宋体"/>
          <w:b/>
          <w:bCs/>
          <w:sz w:val="24"/>
          <w:szCs w:val="24"/>
          <w:highlight w:val="none"/>
        </w:rPr>
        <w:t>（</w:t>
      </w:r>
      <w:bookmarkStart w:id="7" w:name="OLE_LINK3"/>
      <w:r>
        <w:rPr>
          <w:rFonts w:hint="eastAsia" w:ascii="宋体" w:hAnsi="宋体" w:cs="宋体"/>
          <w:b/>
          <w:bCs/>
          <w:sz w:val="24"/>
          <w:szCs w:val="24"/>
          <w:highlight w:val="none"/>
        </w:rPr>
        <w:t>提供20</w:t>
      </w:r>
      <w:r>
        <w:rPr>
          <w:rFonts w:hint="eastAsia" w:ascii="宋体" w:hAnsi="宋体" w:cs="宋体"/>
          <w:b/>
          <w:bCs/>
          <w:sz w:val="24"/>
          <w:szCs w:val="24"/>
          <w:highlight w:val="none"/>
          <w:lang w:val="en-US" w:eastAsia="zh-CN"/>
        </w:rPr>
        <w:t>24</w:t>
      </w:r>
      <w:r>
        <w:rPr>
          <w:rFonts w:hint="eastAsia" w:ascii="宋体" w:hAnsi="宋体" w:cs="宋体"/>
          <w:b/>
          <w:bCs/>
          <w:sz w:val="24"/>
          <w:szCs w:val="24"/>
          <w:highlight w:val="none"/>
        </w:rPr>
        <w:t>年度</w:t>
      </w:r>
      <w:r>
        <w:rPr>
          <w:rFonts w:hint="eastAsia" w:ascii="宋体" w:hAnsi="宋体" w:cs="宋体"/>
          <w:b/>
          <w:bCs/>
          <w:sz w:val="24"/>
          <w:szCs w:val="24"/>
          <w:highlight w:val="none"/>
          <w:lang w:val="en-US" w:eastAsia="zh-CN"/>
        </w:rPr>
        <w:t>或2025年度</w:t>
      </w:r>
      <w:r>
        <w:rPr>
          <w:rFonts w:hint="eastAsia" w:ascii="宋体" w:hAnsi="宋体" w:cs="宋体"/>
          <w:b/>
          <w:bCs/>
          <w:sz w:val="24"/>
          <w:szCs w:val="24"/>
          <w:highlight w:val="none"/>
        </w:rPr>
        <w:t>财务报告，至少包含资产负债表、利润表，或投标截止时间前六个月内银行出具的资信证明，成立不满一年的无须提供</w:t>
      </w:r>
      <w:bookmarkEnd w:id="7"/>
      <w:r>
        <w:rPr>
          <w:rFonts w:hint="eastAsia" w:ascii="宋体" w:hAnsi="宋体" w:cs="宋体"/>
          <w:b/>
          <w:bCs/>
          <w:sz w:val="24"/>
          <w:szCs w:val="24"/>
          <w:highlight w:val="none"/>
        </w:rPr>
        <w:t>）；</w:t>
      </w:r>
    </w:p>
    <w:p w14:paraId="0DED3FE5">
      <w:pPr>
        <w:spacing w:line="329" w:lineRule="auto"/>
        <w:ind w:left="1134"/>
        <w:rPr>
          <w:rFonts w:hint="eastAsia" w:ascii="宋体" w:hAnsi="宋体" w:cs="宋体"/>
          <w:sz w:val="24"/>
          <w:szCs w:val="24"/>
          <w:highlight w:val="none"/>
        </w:rPr>
      </w:pPr>
      <w:r>
        <w:rPr>
          <w:rFonts w:hint="eastAsia" w:ascii="宋体" w:hAnsi="宋体" w:cs="宋体"/>
          <w:sz w:val="24"/>
          <w:szCs w:val="24"/>
          <w:highlight w:val="none"/>
        </w:rPr>
        <w:t>3）具有履行合同所必需的设备和专业技术能力</w:t>
      </w:r>
      <w:r>
        <w:rPr>
          <w:rFonts w:hint="eastAsia" w:ascii="宋体" w:hAnsi="宋体" w:cs="宋体"/>
          <w:b/>
          <w:bCs/>
          <w:sz w:val="24"/>
          <w:szCs w:val="24"/>
          <w:highlight w:val="none"/>
        </w:rPr>
        <w:t>（供应商根据履行采购项目合同需要，提供履行合同所必需的设备和专业技术能力的声明函或证明材料）；</w:t>
      </w:r>
    </w:p>
    <w:p w14:paraId="2981E66B">
      <w:pPr>
        <w:spacing w:line="329" w:lineRule="auto"/>
        <w:ind w:left="1134"/>
        <w:rPr>
          <w:rFonts w:hint="eastAsia" w:ascii="宋体" w:hAnsi="宋体" w:cs="宋体"/>
          <w:b/>
          <w:bCs/>
          <w:sz w:val="24"/>
          <w:szCs w:val="24"/>
          <w:highlight w:val="none"/>
        </w:rPr>
      </w:pPr>
      <w:r>
        <w:rPr>
          <w:rFonts w:hint="eastAsia" w:ascii="宋体" w:hAnsi="宋体" w:cs="宋体"/>
          <w:sz w:val="24"/>
          <w:szCs w:val="24"/>
          <w:highlight w:val="none"/>
        </w:rPr>
        <w:t>4）有依法缴纳税收和社会保障资金的良好记录（提供2025年</w:t>
      </w:r>
      <w:r>
        <w:rPr>
          <w:rFonts w:hint="eastAsia" w:ascii="宋体" w:hAnsi="宋体" w:cs="宋体"/>
          <w:sz w:val="24"/>
          <w:szCs w:val="24"/>
          <w:highlight w:val="none"/>
          <w:lang w:val="en-US" w:eastAsia="zh-CN"/>
        </w:rPr>
        <w:t>9</w:t>
      </w:r>
      <w:r>
        <w:rPr>
          <w:rFonts w:hint="eastAsia" w:ascii="宋体" w:hAnsi="宋体" w:cs="宋体"/>
          <w:sz w:val="24"/>
          <w:szCs w:val="24"/>
          <w:highlight w:val="none"/>
        </w:rPr>
        <w:t>月至今）中任一月份的依法缴纳税收和社会保险费的相关材料</w:t>
      </w:r>
      <w:r>
        <w:rPr>
          <w:rFonts w:hint="eastAsia" w:ascii="宋体" w:hAnsi="宋体" w:cs="宋体"/>
          <w:b/>
          <w:bCs/>
          <w:sz w:val="24"/>
          <w:szCs w:val="24"/>
          <w:highlight w:val="none"/>
        </w:rPr>
        <w:t>（提供相关主管部门证明或银行代扣证明的复印件，根据国家相关政策免缴或迟缴的需提供相关证明材料）</w:t>
      </w:r>
    </w:p>
    <w:p w14:paraId="5305CB84">
      <w:pPr>
        <w:spacing w:line="329" w:lineRule="auto"/>
        <w:ind w:left="1134"/>
        <w:rPr>
          <w:rFonts w:hint="eastAsia"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5）参加政府采购活动前三年内，在经营活动中没有重大违法记录（提供承诺书）；</w:t>
      </w:r>
    </w:p>
    <w:p w14:paraId="7E71F21F">
      <w:pPr>
        <w:spacing w:line="329" w:lineRule="auto"/>
        <w:ind w:left="1134"/>
        <w:rPr>
          <w:highlight w:val="none"/>
        </w:rPr>
      </w:pPr>
      <w:r>
        <w:rPr>
          <w:rFonts w:hint="eastAsia" w:ascii="宋体" w:hAnsi="宋体" w:cs="宋体"/>
          <w:sz w:val="24"/>
          <w:szCs w:val="24"/>
          <w:highlight w:val="none"/>
        </w:rPr>
        <w:t>6）南京市政府采购供应商信用记录表暨信用承诺书。</w:t>
      </w:r>
    </w:p>
    <w:p w14:paraId="5EA3C727">
      <w:pPr>
        <w:pStyle w:val="96"/>
        <w:spacing w:before="1" w:line="406" w:lineRule="auto"/>
        <w:ind w:right="476" w:firstLine="720"/>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2.落实政府采购政策满足的资格要求：</w:t>
      </w:r>
    </w:p>
    <w:p w14:paraId="649BBFE6">
      <w:pPr>
        <w:pStyle w:val="504"/>
        <w:spacing w:line="329" w:lineRule="auto"/>
        <w:ind w:left="709" w:firstLine="480"/>
        <w:outlineLvl w:val="2"/>
        <w:rPr>
          <w:rFonts w:hint="eastAsia" w:ascii="宋体" w:hAnsi="宋体" w:cs="宋体"/>
          <w:sz w:val="24"/>
          <w:szCs w:val="24"/>
          <w:highlight w:val="none"/>
        </w:rPr>
      </w:pPr>
      <w:r>
        <w:rPr>
          <w:rFonts w:hint="eastAsia" w:ascii="宋体" w:hAnsi="宋体" w:cs="宋体"/>
          <w:sz w:val="24"/>
          <w:szCs w:val="24"/>
          <w:highlight w:val="none"/>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3CB35C0E">
      <w:pPr>
        <w:pStyle w:val="504"/>
        <w:spacing w:line="329" w:lineRule="auto"/>
        <w:ind w:left="709" w:firstLine="0"/>
        <w:outlineLvl w:val="2"/>
        <w:rPr>
          <w:rFonts w:hint="eastAsia" w:ascii="宋体" w:hAnsi="宋体" w:cs="宋体"/>
          <w:sz w:val="24"/>
          <w:szCs w:val="24"/>
          <w:highlight w:val="none"/>
        </w:rPr>
      </w:pPr>
      <w:r>
        <w:rPr>
          <w:rFonts w:hint="eastAsia" w:ascii="宋体" w:hAnsi="宋体" w:cs="宋体"/>
          <w:sz w:val="24"/>
          <w:szCs w:val="24"/>
          <w:highlight w:val="none"/>
        </w:rPr>
        <w:t>3.本项目的特定资格要求：</w:t>
      </w:r>
    </w:p>
    <w:p w14:paraId="7DFEEC82">
      <w:pPr>
        <w:pStyle w:val="504"/>
        <w:numPr>
          <w:ilvl w:val="0"/>
          <w:numId w:val="5"/>
        </w:numPr>
        <w:spacing w:line="329" w:lineRule="auto"/>
        <w:ind w:left="1560" w:hanging="426"/>
        <w:rPr>
          <w:rFonts w:hint="eastAsia" w:ascii="宋体" w:hAnsi="宋体" w:cs="宋体"/>
          <w:bCs/>
          <w:sz w:val="24"/>
          <w:szCs w:val="24"/>
          <w:highlight w:val="none"/>
        </w:rPr>
      </w:pPr>
      <w:bookmarkStart w:id="8" w:name="OLE_LINK4"/>
      <w:r>
        <w:rPr>
          <w:rFonts w:hint="eastAsia" w:ascii="宋体" w:hAnsi="宋体" w:cs="宋体"/>
          <w:bCs/>
          <w:sz w:val="24"/>
          <w:szCs w:val="24"/>
          <w:highlight w:val="none"/>
        </w:rPr>
        <w:t>拒绝被“信用中国”（www.creditchina.gov.cn）、“中国政府采购网”(www.ccgp.gov.cn）列入失信被执行人、重大税收违法案件当事人、政府采购严重失信行为的供应商参加投标。</w:t>
      </w:r>
      <w:bookmarkEnd w:id="8"/>
    </w:p>
    <w:p w14:paraId="1627F8C0">
      <w:pPr>
        <w:pStyle w:val="504"/>
        <w:spacing w:line="329" w:lineRule="auto"/>
        <w:ind w:left="709" w:firstLine="0"/>
        <w:outlineLvl w:val="2"/>
        <w:rPr>
          <w:rFonts w:hint="eastAsia" w:ascii="宋体" w:hAnsi="宋体" w:cs="宋体"/>
          <w:b/>
          <w:bCs/>
          <w:sz w:val="24"/>
          <w:szCs w:val="24"/>
          <w:highlight w:val="none"/>
        </w:rPr>
      </w:pPr>
      <w:bookmarkStart w:id="9" w:name="_Toc26697"/>
      <w:r>
        <w:rPr>
          <w:rFonts w:hint="eastAsia" w:ascii="宋体" w:hAnsi="宋体" w:cs="宋体"/>
          <w:b/>
          <w:bCs/>
          <w:sz w:val="24"/>
          <w:szCs w:val="24"/>
          <w:highlight w:val="none"/>
        </w:rPr>
        <w:t>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DA15E7">
      <w:pPr>
        <w:pStyle w:val="504"/>
        <w:spacing w:line="329" w:lineRule="auto"/>
        <w:ind w:left="709" w:firstLine="0"/>
        <w:outlineLvl w:val="1"/>
        <w:rPr>
          <w:rFonts w:hint="eastAsia" w:ascii="宋体" w:hAnsi="宋体" w:cs="宋体"/>
          <w:b/>
          <w:bCs/>
          <w:sz w:val="24"/>
          <w:szCs w:val="24"/>
          <w:highlight w:val="none"/>
        </w:rPr>
      </w:pPr>
      <w:r>
        <w:rPr>
          <w:rFonts w:hint="eastAsia" w:ascii="宋体" w:hAnsi="宋体" w:cs="宋体"/>
          <w:b/>
          <w:bCs/>
          <w:sz w:val="24"/>
          <w:szCs w:val="24"/>
          <w:highlight w:val="none"/>
        </w:rPr>
        <w:t>三、获取招标文件</w:t>
      </w:r>
      <w:bookmarkEnd w:id="9"/>
    </w:p>
    <w:p w14:paraId="0D50C3DD">
      <w:pPr>
        <w:pStyle w:val="504"/>
        <w:spacing w:line="329" w:lineRule="auto"/>
        <w:ind w:left="709" w:firstLine="480"/>
        <w:outlineLvl w:val="2"/>
        <w:rPr>
          <w:rFonts w:hint="eastAsia" w:ascii="宋体" w:hAnsi="宋体" w:cs="宋体"/>
          <w:sz w:val="24"/>
          <w:szCs w:val="24"/>
          <w:highlight w:val="none"/>
        </w:rPr>
      </w:pPr>
      <w:r>
        <w:rPr>
          <w:rFonts w:hint="eastAsia" w:ascii="宋体" w:hAnsi="宋体" w:cs="宋体"/>
          <w:sz w:val="24"/>
          <w:szCs w:val="24"/>
          <w:highlight w:val="none"/>
        </w:rPr>
        <w:t>1、时间：自公告发布之日起5个工作日。</w:t>
      </w:r>
    </w:p>
    <w:p w14:paraId="3B750AB6">
      <w:pPr>
        <w:pStyle w:val="504"/>
        <w:spacing w:line="329" w:lineRule="auto"/>
        <w:ind w:left="709" w:firstLine="480"/>
        <w:outlineLvl w:val="2"/>
        <w:rPr>
          <w:rFonts w:hint="eastAsia" w:ascii="宋体" w:hAnsi="宋体" w:cs="宋体"/>
          <w:sz w:val="24"/>
          <w:szCs w:val="24"/>
          <w:highlight w:val="none"/>
        </w:rPr>
      </w:pPr>
      <w:r>
        <w:rPr>
          <w:rFonts w:hint="eastAsia" w:ascii="宋体" w:hAnsi="宋体" w:cs="宋体"/>
          <w:sz w:val="24"/>
          <w:szCs w:val="24"/>
          <w:highlight w:val="none"/>
        </w:rPr>
        <w:t>2、地点：“江苏政府采购网”</w:t>
      </w:r>
    </w:p>
    <w:p w14:paraId="2004B7B8">
      <w:pPr>
        <w:pStyle w:val="504"/>
        <w:spacing w:line="329" w:lineRule="auto"/>
        <w:ind w:left="709" w:firstLine="480"/>
        <w:outlineLvl w:val="2"/>
        <w:rPr>
          <w:rFonts w:hint="eastAsia" w:ascii="宋体" w:hAnsi="宋体" w:cs="宋体"/>
          <w:sz w:val="24"/>
          <w:szCs w:val="24"/>
          <w:highlight w:val="none"/>
        </w:rPr>
      </w:pPr>
      <w:r>
        <w:rPr>
          <w:rFonts w:hint="eastAsia" w:ascii="宋体" w:hAnsi="宋体" w:cs="宋体"/>
          <w:sz w:val="24"/>
          <w:szCs w:val="24"/>
          <w:highlight w:val="none"/>
        </w:rPr>
        <w:t>3、方式：本项目采用网上注册登记方式免费获取。</w:t>
      </w:r>
    </w:p>
    <w:p w14:paraId="10F9EA66">
      <w:pPr>
        <w:pStyle w:val="468"/>
        <w:tabs>
          <w:tab w:val="left" w:pos="1134"/>
        </w:tabs>
        <w:spacing w:line="360" w:lineRule="exact"/>
        <w:ind w:left="709" w:firstLine="0"/>
        <w:outlineLvl w:val="1"/>
        <w:rPr>
          <w:rFonts w:hint="eastAsia" w:ascii="宋体" w:hAnsi="宋体" w:cs="宋体"/>
          <w:b/>
          <w:bCs/>
          <w:sz w:val="24"/>
          <w:szCs w:val="24"/>
          <w:highlight w:val="none"/>
        </w:rPr>
      </w:pPr>
      <w:bookmarkStart w:id="10" w:name="_Toc2291"/>
      <w:r>
        <w:rPr>
          <w:rFonts w:hint="eastAsia" w:ascii="宋体" w:hAnsi="宋体" w:cs="宋体"/>
          <w:b/>
          <w:bCs/>
          <w:sz w:val="24"/>
          <w:szCs w:val="24"/>
          <w:highlight w:val="none"/>
        </w:rPr>
        <w:t>四、提交投标文件截止时间、开标时间和地点</w:t>
      </w:r>
      <w:bookmarkEnd w:id="10"/>
    </w:p>
    <w:p w14:paraId="1C77E319">
      <w:pPr>
        <w:pStyle w:val="504"/>
        <w:spacing w:line="329" w:lineRule="auto"/>
        <w:ind w:left="709" w:firstLine="480"/>
        <w:outlineLvl w:val="2"/>
        <w:rPr>
          <w:rFonts w:hint="eastAsia" w:ascii="宋体" w:hAnsi="宋体" w:cs="宋体"/>
          <w:sz w:val="24"/>
          <w:szCs w:val="24"/>
          <w:highlight w:val="none"/>
        </w:rPr>
      </w:pPr>
      <w:r>
        <w:rPr>
          <w:rFonts w:hint="eastAsia" w:ascii="宋体" w:hAnsi="宋体" w:cs="宋体"/>
          <w:sz w:val="24"/>
          <w:szCs w:val="24"/>
          <w:highlight w:val="none"/>
        </w:rPr>
        <w:t>投标文件截止时间及开标时间：202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 </w:t>
      </w:r>
      <w:r>
        <w:rPr>
          <w:rFonts w:hint="eastAsia" w:ascii="宋体" w:hAnsi="宋体" w:cs="宋体"/>
          <w:sz w:val="24"/>
          <w:szCs w:val="24"/>
          <w:highlight w:val="none"/>
          <w:lang w:val="en-US" w:eastAsia="zh-CN"/>
        </w:rPr>
        <w:t>2</w:t>
      </w:r>
      <w:r>
        <w:rPr>
          <w:rFonts w:hint="eastAsia" w:ascii="宋体" w:hAnsi="宋体" w:cs="宋体"/>
          <w:sz w:val="24"/>
          <w:szCs w:val="24"/>
          <w:highlight w:val="none"/>
        </w:rPr>
        <w:t>月</w:t>
      </w:r>
      <w:r>
        <w:rPr>
          <w:rFonts w:hint="eastAsia" w:ascii="宋体" w:hAnsi="宋体" w:cs="宋体"/>
          <w:sz w:val="24"/>
          <w:szCs w:val="24"/>
          <w:highlight w:val="none"/>
          <w:lang w:val="en-US" w:eastAsia="zh-CN"/>
        </w:rPr>
        <w:t>12</w:t>
      </w:r>
      <w:r>
        <w:rPr>
          <w:rFonts w:hint="eastAsia" w:ascii="宋体" w:hAnsi="宋体" w:cs="宋体"/>
          <w:sz w:val="24"/>
          <w:szCs w:val="24"/>
          <w:highlight w:val="none"/>
        </w:rPr>
        <w:t>日</w:t>
      </w:r>
      <w:r>
        <w:rPr>
          <w:rFonts w:hint="eastAsia" w:ascii="宋体" w:hAnsi="宋体" w:cs="宋体"/>
          <w:sz w:val="24"/>
          <w:szCs w:val="24"/>
          <w:highlight w:val="none"/>
          <w:lang w:val="en-US" w:eastAsia="zh-CN"/>
        </w:rPr>
        <w:t>14</w:t>
      </w:r>
      <w:r>
        <w:rPr>
          <w:rFonts w:hint="eastAsia" w:ascii="宋体" w:hAnsi="宋体" w:cs="宋体"/>
          <w:sz w:val="24"/>
          <w:szCs w:val="24"/>
          <w:highlight w:val="none"/>
        </w:rPr>
        <w:t>点30分（北京时间）</w:t>
      </w:r>
    </w:p>
    <w:p w14:paraId="362BC313">
      <w:pPr>
        <w:pStyle w:val="504"/>
        <w:spacing w:line="329" w:lineRule="auto"/>
        <w:ind w:left="709" w:firstLine="480"/>
        <w:outlineLvl w:val="2"/>
        <w:rPr>
          <w:rFonts w:hint="eastAsia" w:ascii="宋体" w:hAnsi="宋体" w:cs="宋体"/>
          <w:sz w:val="24"/>
          <w:szCs w:val="24"/>
          <w:highlight w:val="none"/>
        </w:rPr>
      </w:pPr>
      <w:r>
        <w:rPr>
          <w:rFonts w:hint="eastAsia" w:ascii="宋体" w:hAnsi="宋体" w:cs="宋体"/>
          <w:sz w:val="24"/>
          <w:szCs w:val="24"/>
          <w:highlight w:val="none"/>
        </w:rPr>
        <w:t>地点：“苏采云”政府采购交易系统网上开标大厅。</w:t>
      </w:r>
    </w:p>
    <w:p w14:paraId="2DD816ED">
      <w:pPr>
        <w:pStyle w:val="468"/>
        <w:tabs>
          <w:tab w:val="left" w:pos="1134"/>
        </w:tabs>
        <w:spacing w:line="312" w:lineRule="auto"/>
        <w:ind w:left="708" w:firstLine="0"/>
        <w:outlineLvl w:val="1"/>
        <w:rPr>
          <w:rFonts w:hint="eastAsia" w:ascii="宋体" w:hAnsi="宋体" w:cs="宋体"/>
          <w:b/>
          <w:bCs/>
          <w:sz w:val="24"/>
          <w:szCs w:val="24"/>
          <w:highlight w:val="none"/>
        </w:rPr>
      </w:pPr>
      <w:bookmarkStart w:id="11" w:name="_Toc5544"/>
      <w:r>
        <w:rPr>
          <w:rFonts w:hint="eastAsia" w:ascii="宋体" w:hAnsi="宋体" w:cs="宋体"/>
          <w:b/>
          <w:bCs/>
          <w:sz w:val="24"/>
          <w:szCs w:val="24"/>
          <w:highlight w:val="none"/>
        </w:rPr>
        <w:t>五、公告期限</w:t>
      </w:r>
      <w:bookmarkEnd w:id="11"/>
    </w:p>
    <w:p w14:paraId="26966F54">
      <w:pPr>
        <w:pStyle w:val="468"/>
        <w:tabs>
          <w:tab w:val="left" w:pos="1276"/>
        </w:tabs>
        <w:spacing w:line="312" w:lineRule="auto"/>
        <w:ind w:firstLine="1200"/>
        <w:rPr>
          <w:rFonts w:hint="eastAsia" w:ascii="宋体" w:hAnsi="宋体" w:cs="宋体"/>
          <w:sz w:val="24"/>
          <w:szCs w:val="24"/>
          <w:highlight w:val="none"/>
        </w:rPr>
      </w:pPr>
      <w:r>
        <w:rPr>
          <w:rFonts w:hint="eastAsia" w:ascii="宋体" w:hAnsi="宋体" w:cs="宋体"/>
          <w:sz w:val="24"/>
          <w:szCs w:val="24"/>
          <w:highlight w:val="none"/>
        </w:rPr>
        <w:t>自本公告发布之日起5个工作日。</w:t>
      </w:r>
    </w:p>
    <w:p w14:paraId="4529370B">
      <w:pPr>
        <w:pStyle w:val="468"/>
        <w:tabs>
          <w:tab w:val="left" w:pos="1134"/>
        </w:tabs>
        <w:spacing w:line="360" w:lineRule="exact"/>
        <w:ind w:left="709" w:firstLine="0"/>
        <w:outlineLvl w:val="1"/>
        <w:rPr>
          <w:rFonts w:hint="eastAsia" w:ascii="宋体" w:hAnsi="宋体" w:cs="宋体"/>
          <w:b/>
          <w:bCs/>
          <w:sz w:val="24"/>
          <w:szCs w:val="24"/>
          <w:highlight w:val="none"/>
        </w:rPr>
      </w:pPr>
      <w:bookmarkStart w:id="12" w:name="_Toc12830"/>
      <w:r>
        <w:rPr>
          <w:rFonts w:hint="eastAsia" w:ascii="宋体" w:hAnsi="宋体" w:cs="宋体"/>
          <w:b/>
          <w:bCs/>
          <w:sz w:val="24"/>
          <w:szCs w:val="24"/>
          <w:highlight w:val="none"/>
        </w:rPr>
        <w:t>六、其他补充事宜</w:t>
      </w:r>
      <w:bookmarkEnd w:id="12"/>
    </w:p>
    <w:p w14:paraId="58C0C8F4">
      <w:pPr>
        <w:spacing w:line="360" w:lineRule="auto"/>
        <w:ind w:firstLine="964"/>
        <w:rPr>
          <w:rFonts w:hint="eastAsia" w:ascii="宋体" w:hAnsi="宋体" w:cs="宋体"/>
          <w:b/>
          <w:sz w:val="24"/>
          <w:szCs w:val="24"/>
          <w:highlight w:val="none"/>
        </w:rPr>
      </w:pPr>
      <w:bookmarkStart w:id="13" w:name="OLE_LINK5"/>
      <w:bookmarkStart w:id="14" w:name="_Toc10479"/>
      <w:r>
        <w:rPr>
          <w:rFonts w:hint="eastAsia" w:ascii="宋体" w:hAnsi="宋体"/>
          <w:b/>
          <w:sz w:val="24"/>
          <w:szCs w:val="24"/>
          <w:highlight w:val="none"/>
        </w:rPr>
        <w:t>1、</w:t>
      </w:r>
      <w:r>
        <w:rPr>
          <w:rFonts w:hint="eastAsia" w:ascii="宋体" w:hAnsi="宋体" w:cs="宋体"/>
          <w:b/>
          <w:sz w:val="24"/>
          <w:szCs w:val="24"/>
          <w:highlight w:val="none"/>
        </w:rPr>
        <w:t>潜在供应商访问政府采购管理交易系统（苏采云）的网络地址和方法：</w:t>
      </w:r>
    </w:p>
    <w:p w14:paraId="380943F0">
      <w:pPr>
        <w:spacing w:line="360" w:lineRule="auto"/>
        <w:ind w:left="218" w:firstLine="379"/>
        <w:jc w:val="left"/>
        <w:rPr>
          <w:rFonts w:hint="eastAsia" w:ascii="宋体" w:hAnsi="宋体"/>
          <w:bCs/>
          <w:sz w:val="24"/>
          <w:szCs w:val="24"/>
          <w:highlight w:val="none"/>
        </w:rPr>
      </w:pPr>
      <w:r>
        <w:rPr>
          <w:rFonts w:hint="eastAsia" w:ascii="宋体" w:hAnsi="宋体"/>
          <w:bCs/>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CE1C2D3">
      <w:pPr>
        <w:spacing w:line="360" w:lineRule="auto"/>
        <w:ind w:left="218" w:firstLine="379"/>
        <w:jc w:val="left"/>
        <w:rPr>
          <w:rFonts w:hint="eastAsia" w:ascii="宋体" w:hAnsi="宋体"/>
          <w:bCs/>
          <w:sz w:val="24"/>
          <w:szCs w:val="24"/>
          <w:highlight w:val="none"/>
        </w:rPr>
      </w:pPr>
      <w:r>
        <w:rPr>
          <w:rFonts w:hint="eastAsia" w:ascii="宋体" w:hAnsi="宋体"/>
          <w:bCs/>
          <w:sz w:val="24"/>
          <w:szCs w:val="24"/>
          <w:highlight w:val="none"/>
        </w:rPr>
        <w:t>（2）“CA数字证书”的获取：供应商需办理CA锁，“苏采云”系统目前仅支持“苏采云”系统下的政务CA，省内各地区办理的“苏采云”系统下的政务CA全省通用。</w:t>
      </w:r>
    </w:p>
    <w:p w14:paraId="49E0687A">
      <w:pPr>
        <w:spacing w:line="360" w:lineRule="auto"/>
        <w:ind w:left="218" w:firstLine="379"/>
        <w:jc w:val="left"/>
        <w:rPr>
          <w:rFonts w:hint="eastAsia" w:ascii="宋体" w:hAnsi="宋体"/>
          <w:bCs/>
          <w:sz w:val="24"/>
          <w:szCs w:val="24"/>
          <w:highlight w:val="none"/>
        </w:rPr>
      </w:pPr>
      <w:r>
        <w:rPr>
          <w:rFonts w:hint="eastAsia" w:ascii="宋体" w:hAnsi="宋体"/>
          <w:bCs/>
          <w:sz w:val="24"/>
          <w:szCs w:val="24"/>
          <w:highlight w:val="none"/>
        </w:rPr>
        <w:t>（3）“CA数字证书”的办理材料以及供应商操作手册详见：http://jsxcmm.com/help/gys.html。</w:t>
      </w:r>
    </w:p>
    <w:p w14:paraId="03BF064B">
      <w:pPr>
        <w:spacing w:line="360" w:lineRule="auto"/>
        <w:ind w:left="218" w:firstLine="379"/>
        <w:jc w:val="left"/>
        <w:rPr>
          <w:rFonts w:hint="eastAsia" w:ascii="宋体" w:hAnsi="宋体"/>
          <w:bCs/>
          <w:sz w:val="24"/>
          <w:szCs w:val="24"/>
          <w:highlight w:val="none"/>
        </w:rPr>
      </w:pPr>
      <w:r>
        <w:rPr>
          <w:rFonts w:hint="eastAsia" w:ascii="宋体" w:hAnsi="宋体"/>
          <w:bCs/>
          <w:sz w:val="24"/>
          <w:szCs w:val="24"/>
          <w:highlight w:val="none"/>
        </w:rPr>
        <w:t>（4）潜在供应商访问“苏采云”系统的网络地址和方法：“苏采云”系统的网址：http://jszfcg.jsczt.cn/jszc/login。</w:t>
      </w:r>
    </w:p>
    <w:p w14:paraId="4594A148">
      <w:pPr>
        <w:spacing w:line="360" w:lineRule="auto"/>
        <w:ind w:left="218" w:firstLine="379"/>
        <w:jc w:val="left"/>
        <w:rPr>
          <w:rFonts w:hint="eastAsia" w:ascii="宋体" w:hAnsi="宋体"/>
          <w:bCs/>
          <w:sz w:val="24"/>
          <w:szCs w:val="24"/>
          <w:highlight w:val="none"/>
        </w:rPr>
      </w:pPr>
      <w:r>
        <w:rPr>
          <w:rFonts w:hint="eastAsia" w:ascii="宋体" w:hAnsi="宋体"/>
          <w:bCs/>
          <w:sz w:val="24"/>
          <w:szCs w:val="24"/>
          <w:highlight w:val="none"/>
        </w:rPr>
        <w:t>（5）采购文件（后缀名为“.kedt”）、供应商操作手册及政府采购客户端工具也可通过“苏采云”系统--已报名项目--报名详情页面内相应链接进行下载。</w:t>
      </w:r>
    </w:p>
    <w:p w14:paraId="74A892D0">
      <w:pPr>
        <w:spacing w:line="360" w:lineRule="auto"/>
        <w:ind w:left="218" w:firstLine="379"/>
        <w:jc w:val="left"/>
        <w:rPr>
          <w:rFonts w:hint="eastAsia" w:ascii="宋体" w:hAnsi="宋体"/>
          <w:bCs/>
          <w:sz w:val="24"/>
          <w:szCs w:val="24"/>
          <w:highlight w:val="none"/>
        </w:rPr>
      </w:pPr>
      <w:r>
        <w:rPr>
          <w:rFonts w:hint="eastAsia" w:ascii="宋体" w:hAnsi="宋体"/>
          <w:bCs/>
          <w:sz w:val="24"/>
          <w:szCs w:val="24"/>
          <w:highlight w:val="none"/>
        </w:rPr>
        <w:t>（6）招标代理机构（采购代理机构）将数据电文形式的采购文件加载至“苏采云”系统，供潜在供应商下载或者查阅。    </w:t>
      </w:r>
    </w:p>
    <w:p w14:paraId="0D568418">
      <w:pPr>
        <w:spacing w:line="360" w:lineRule="auto"/>
        <w:ind w:left="218" w:firstLine="379"/>
        <w:jc w:val="left"/>
        <w:rPr>
          <w:rFonts w:hint="eastAsia" w:ascii="宋体" w:hAnsi="宋体"/>
          <w:bCs/>
          <w:sz w:val="24"/>
          <w:szCs w:val="24"/>
          <w:highlight w:val="none"/>
        </w:rPr>
      </w:pPr>
      <w:r>
        <w:rPr>
          <w:rFonts w:hint="eastAsia" w:ascii="宋体" w:hAnsi="宋体"/>
          <w:bCs/>
          <w:sz w:val="24"/>
          <w:szCs w:val="24"/>
          <w:highlight w:val="none"/>
        </w:rPr>
        <w:t>（7）苏采云系统使用谷歌浏览器参与不见面开标。</w:t>
      </w:r>
    </w:p>
    <w:p w14:paraId="5290341C">
      <w:pPr>
        <w:spacing w:line="360" w:lineRule="auto"/>
        <w:ind w:firstLine="420"/>
        <w:rPr>
          <w:rFonts w:hint="eastAsia" w:ascii="宋体" w:hAnsi="宋体" w:cs="宋体"/>
          <w:bCs/>
          <w:sz w:val="24"/>
          <w:szCs w:val="24"/>
          <w:highlight w:val="none"/>
        </w:rPr>
      </w:pPr>
      <w:r>
        <w:rPr>
          <w:rFonts w:hint="eastAsia" w:ascii="宋体" w:hAnsi="宋体" w:cs="宋体"/>
          <w:b/>
          <w:sz w:val="24"/>
          <w:szCs w:val="24"/>
          <w:highlight w:val="none"/>
        </w:rPr>
        <w:t>2.信用承诺</w:t>
      </w:r>
      <w:r>
        <w:rPr>
          <w:rFonts w:hint="eastAsia" w:ascii="宋体" w:hAnsi="宋体" w:cs="宋体"/>
          <w:bCs/>
          <w:sz w:val="24"/>
          <w:szCs w:val="24"/>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highlight w:val="none"/>
        </w:rPr>
        <w:fldChar w:fldCharType="begin"/>
      </w:r>
      <w:r>
        <w:rPr>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highlight w:val="none"/>
        </w:rPr>
        <w:fldChar w:fldCharType="separate"/>
      </w:r>
      <w:r>
        <w:rPr>
          <w:rFonts w:hint="eastAsia" w:ascii="宋体" w:hAnsi="宋体" w:cs="宋体"/>
          <w:bCs/>
          <w:sz w:val="24"/>
          <w:szCs w:val="24"/>
          <w:highlight w:val="none"/>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 要求完成注册），然后在“信用记录”模块页面点击“信用记录打印”下载本单位《南京市政府采购供应商信用记录表暨信用承诺书》，由法人签字并盖单位公章，装订在</w:t>
      </w:r>
      <w:r>
        <w:rPr>
          <w:rFonts w:hint="eastAsia" w:ascii="宋体" w:hAnsi="宋体" w:cs="宋体"/>
          <w:bCs/>
          <w:sz w:val="24"/>
          <w:szCs w:val="24"/>
          <w:highlight w:val="none"/>
          <w:lang w:eastAsia="zh-CN"/>
        </w:rPr>
        <w:t>投标文件</w:t>
      </w:r>
      <w:r>
        <w:rPr>
          <w:rFonts w:hint="eastAsia" w:ascii="宋体" w:hAnsi="宋体" w:cs="宋体"/>
          <w:bCs/>
          <w:sz w:val="24"/>
          <w:szCs w:val="24"/>
          <w:highlight w:val="none"/>
        </w:rPr>
        <w:t>中。</w:t>
      </w:r>
    </w:p>
    <w:p w14:paraId="587ECB4C">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在政府采购资格审查环节，供应商只需提供书面《南京市政府采购供应商信用记录表暨信用承诺书》，即可替代以下证明材料： </w:t>
      </w:r>
    </w:p>
    <w:p w14:paraId="33E35210">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（1）符合国家相关规定的财务状况报告； </w:t>
      </w:r>
    </w:p>
    <w:p w14:paraId="23781BBC">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（2）依法缴纳税收的证明材料； </w:t>
      </w:r>
    </w:p>
    <w:p w14:paraId="04716081">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（3）依法缴纳社会保障资金的证明材料； </w:t>
      </w:r>
    </w:p>
    <w:p w14:paraId="70273C01">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（4）具备履行政府采购合同所必需的设备和专业技术能力的证明材料； </w:t>
      </w:r>
    </w:p>
    <w:p w14:paraId="2D91AC72">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（5）参加政府采购活动前三年内在经营活动中没有重大违法记录的证明材料； </w:t>
      </w:r>
    </w:p>
    <w:p w14:paraId="58BB4A27">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（6）未被列入失信被执行人、重大税收违法失信主体、政府采购严重违法失信行为记录名单的证明材料。 </w:t>
      </w:r>
    </w:p>
    <w:p w14:paraId="65303F98">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p>
    <w:p w14:paraId="5E8F41BA">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供应商涉及以下情形的，不适用信用承诺： </w:t>
      </w:r>
    </w:p>
    <w:p w14:paraId="64C9ACAF">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（1）供应商被列入严重失信主体名单； </w:t>
      </w:r>
    </w:p>
    <w:p w14:paraId="7A9C2F81">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（2）被相关监管部门作出行政处罚且尚在处罚有效期内； </w:t>
      </w:r>
    </w:p>
    <w:p w14:paraId="5BA84E2D">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（3）其他法律、行政法规规定的不适用信用承诺的情形。 </w:t>
      </w:r>
    </w:p>
    <w:p w14:paraId="56ACACE6">
      <w:pPr>
        <w:spacing w:line="360" w:lineRule="auto"/>
        <w:ind w:firstLine="420"/>
        <w:rPr>
          <w:rFonts w:hint="eastAsia" w:ascii="宋体" w:hAnsi="宋体" w:cs="宋体"/>
          <w:bCs/>
          <w:sz w:val="24"/>
          <w:szCs w:val="24"/>
          <w:highlight w:val="none"/>
        </w:rPr>
      </w:pPr>
      <w:r>
        <w:rPr>
          <w:rFonts w:hint="eastAsia" w:ascii="宋体" w:hAnsi="宋体" w:cs="宋体"/>
          <w:bCs/>
          <w:sz w:val="24"/>
          <w:szCs w:val="24"/>
          <w:highlight w:val="none"/>
        </w:rPr>
        <w:t>供应商对信用承诺内容的真实性、合法性、有效性负责。如作出虚假信用承诺，视同为“提供虚假材料谋取中标、成交”的违法行为。</w:t>
      </w:r>
    </w:p>
    <w:p w14:paraId="34BEDB4C">
      <w:pPr>
        <w:spacing w:line="360" w:lineRule="auto"/>
        <w:ind w:firstLine="420"/>
        <w:rPr>
          <w:rFonts w:hint="eastAsia" w:ascii="宋体" w:hAnsi="宋体" w:cs="宋体"/>
          <w:b/>
          <w:bCs/>
          <w:sz w:val="24"/>
          <w:szCs w:val="24"/>
          <w:highlight w:val="none"/>
        </w:rPr>
      </w:pPr>
      <w:r>
        <w:rPr>
          <w:rFonts w:hint="eastAsia" w:ascii="宋体" w:hAnsi="宋体" w:cs="宋体"/>
          <w:b/>
          <w:bCs/>
          <w:sz w:val="24"/>
          <w:szCs w:val="24"/>
          <w:highlight w:val="none"/>
        </w:rPr>
        <w:t>3.有关本次采购的事项若存在变动或修改，敬请及时关注“江苏政府采购网”发布的信息。</w:t>
      </w:r>
      <w:bookmarkEnd w:id="13"/>
    </w:p>
    <w:p w14:paraId="151B6CB8">
      <w:pPr>
        <w:pStyle w:val="468"/>
        <w:numPr>
          <w:ilvl w:val="0"/>
          <w:numId w:val="6"/>
        </w:numPr>
        <w:tabs>
          <w:tab w:val="left" w:pos="1276"/>
        </w:tabs>
        <w:spacing w:line="312" w:lineRule="auto"/>
        <w:ind w:firstLine="723"/>
        <w:outlineLvl w:val="1"/>
        <w:rPr>
          <w:rFonts w:hint="eastAsia" w:ascii="宋体" w:hAnsi="宋体" w:cs="宋体"/>
          <w:b/>
          <w:bCs/>
          <w:sz w:val="24"/>
          <w:szCs w:val="24"/>
          <w:highlight w:val="none"/>
        </w:rPr>
      </w:pPr>
      <w:r>
        <w:rPr>
          <w:rFonts w:hint="eastAsia" w:ascii="宋体" w:hAnsi="宋体" w:cs="宋体"/>
          <w:b/>
          <w:bCs/>
          <w:sz w:val="24"/>
          <w:szCs w:val="24"/>
          <w:highlight w:val="none"/>
        </w:rPr>
        <w:t>对本次招标提出询问，请按以下方式联系。</w:t>
      </w:r>
      <w:bookmarkEnd w:id="14"/>
    </w:p>
    <w:p w14:paraId="3143E6DC">
      <w:pPr>
        <w:pStyle w:val="468"/>
        <w:tabs>
          <w:tab w:val="left" w:pos="1276"/>
        </w:tabs>
        <w:spacing w:line="329" w:lineRule="auto"/>
        <w:ind w:left="709" w:firstLine="560"/>
        <w:rPr>
          <w:rFonts w:hint="eastAsia" w:ascii="宋体" w:hAnsi="宋体" w:cs="宋体"/>
          <w:sz w:val="24"/>
          <w:szCs w:val="24"/>
          <w:highlight w:val="none"/>
        </w:rPr>
      </w:pPr>
      <w:bookmarkStart w:id="15" w:name="_Toc25617"/>
      <w:r>
        <w:rPr>
          <w:rFonts w:hint="eastAsia" w:ascii="宋体" w:hAnsi="宋体" w:cs="宋体"/>
          <w:sz w:val="24"/>
          <w:szCs w:val="24"/>
          <w:highlight w:val="none"/>
        </w:rPr>
        <w:t>1.采购人信息</w:t>
      </w:r>
    </w:p>
    <w:p w14:paraId="1DB0C55E">
      <w:pPr>
        <w:pStyle w:val="468"/>
        <w:tabs>
          <w:tab w:val="left" w:pos="1276"/>
        </w:tabs>
        <w:spacing w:line="329" w:lineRule="auto"/>
        <w:ind w:left="709" w:firstLine="560"/>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采购人：南京市第一医院</w:t>
      </w:r>
    </w:p>
    <w:p w14:paraId="4A8A1A35">
      <w:pPr>
        <w:pStyle w:val="468"/>
        <w:tabs>
          <w:tab w:val="left" w:pos="1276"/>
        </w:tabs>
        <w:spacing w:line="329" w:lineRule="auto"/>
        <w:ind w:left="709" w:firstLine="560"/>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采购人地址：南京市秦淮区长乐路68号 </w:t>
      </w:r>
    </w:p>
    <w:p w14:paraId="23EE9A69">
      <w:pPr>
        <w:pStyle w:val="468"/>
        <w:tabs>
          <w:tab w:val="left" w:pos="1276"/>
        </w:tabs>
        <w:spacing w:line="329" w:lineRule="auto"/>
        <w:ind w:left="709" w:firstLine="560"/>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联系方式：025-52271007</w:t>
      </w:r>
    </w:p>
    <w:p w14:paraId="6033F21D">
      <w:pPr>
        <w:pStyle w:val="468"/>
        <w:tabs>
          <w:tab w:val="left" w:pos="1276"/>
        </w:tabs>
        <w:spacing w:line="329" w:lineRule="auto"/>
        <w:ind w:left="709" w:firstLine="560"/>
        <w:rPr>
          <w:rFonts w:hint="eastAsia" w:ascii="宋体" w:hAnsi="宋体" w:cs="宋体"/>
          <w:sz w:val="24"/>
          <w:szCs w:val="24"/>
          <w:highlight w:val="none"/>
        </w:rPr>
      </w:pPr>
      <w:r>
        <w:rPr>
          <w:rFonts w:hint="eastAsia" w:ascii="宋体" w:hAnsi="宋体" w:cs="宋体"/>
          <w:sz w:val="24"/>
          <w:szCs w:val="24"/>
          <w:highlight w:val="none"/>
          <w:shd w:val="clear" w:color="auto" w:fill="FFFFFF"/>
        </w:rPr>
        <w:t>2.采购</w:t>
      </w:r>
      <w:r>
        <w:rPr>
          <w:rFonts w:hint="eastAsia" w:ascii="宋体" w:hAnsi="宋体" w:cs="宋体"/>
          <w:sz w:val="24"/>
          <w:szCs w:val="24"/>
          <w:highlight w:val="none"/>
        </w:rPr>
        <w:t>代理机构信息</w:t>
      </w:r>
    </w:p>
    <w:p w14:paraId="41D59853">
      <w:pPr>
        <w:pStyle w:val="468"/>
        <w:tabs>
          <w:tab w:val="left" w:pos="1276"/>
        </w:tabs>
        <w:spacing w:line="329" w:lineRule="auto"/>
        <w:ind w:left="709" w:firstLine="560"/>
        <w:rPr>
          <w:rFonts w:hint="eastAsia" w:ascii="宋体" w:hAnsi="宋体" w:cs="宋体"/>
          <w:sz w:val="24"/>
          <w:szCs w:val="24"/>
          <w:highlight w:val="none"/>
        </w:rPr>
      </w:pPr>
      <w:r>
        <w:rPr>
          <w:rFonts w:hint="eastAsia" w:ascii="宋体" w:hAnsi="宋体" w:cs="宋体"/>
          <w:sz w:val="24"/>
          <w:szCs w:val="24"/>
          <w:highlight w:val="none"/>
        </w:rPr>
        <w:t>名称：江苏弘业国际技术工程有限公司</w:t>
      </w:r>
    </w:p>
    <w:p w14:paraId="77413501">
      <w:pPr>
        <w:pStyle w:val="468"/>
        <w:tabs>
          <w:tab w:val="left" w:pos="1276"/>
        </w:tabs>
        <w:spacing w:line="329" w:lineRule="auto"/>
        <w:ind w:left="709" w:firstLine="560"/>
        <w:rPr>
          <w:rFonts w:hint="eastAsia" w:ascii="宋体" w:hAnsi="宋体" w:cs="宋体"/>
          <w:sz w:val="24"/>
          <w:szCs w:val="24"/>
          <w:highlight w:val="none"/>
          <w:shd w:val="clear" w:color="auto" w:fill="FFFFFF"/>
        </w:rPr>
      </w:pPr>
      <w:r>
        <w:rPr>
          <w:rFonts w:hint="eastAsia" w:ascii="宋体" w:hAnsi="宋体" w:cs="宋体"/>
          <w:sz w:val="24"/>
          <w:szCs w:val="24"/>
          <w:highlight w:val="none"/>
        </w:rPr>
        <w:t>地址：南京市中华路50号弘业大厦10楼</w:t>
      </w:r>
    </w:p>
    <w:p w14:paraId="7CE12479">
      <w:pPr>
        <w:pStyle w:val="468"/>
        <w:tabs>
          <w:tab w:val="left" w:pos="1276"/>
        </w:tabs>
        <w:spacing w:line="329" w:lineRule="auto"/>
        <w:ind w:left="709" w:firstLine="560"/>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联系方式：025-52278370</w:t>
      </w:r>
    </w:p>
    <w:p w14:paraId="59A9322E">
      <w:pPr>
        <w:pStyle w:val="468"/>
        <w:tabs>
          <w:tab w:val="left" w:pos="1276"/>
        </w:tabs>
        <w:spacing w:line="329" w:lineRule="auto"/>
        <w:ind w:left="709" w:firstLine="560"/>
        <w:rPr>
          <w:rFonts w:hint="eastAsia" w:ascii="宋体" w:hAnsi="宋体" w:cs="宋体"/>
          <w:sz w:val="24"/>
          <w:szCs w:val="24"/>
          <w:highlight w:val="none"/>
        </w:rPr>
      </w:pPr>
      <w:r>
        <w:rPr>
          <w:rFonts w:hint="eastAsia" w:ascii="宋体" w:hAnsi="宋体" w:cs="宋体"/>
          <w:sz w:val="24"/>
          <w:szCs w:val="24"/>
          <w:highlight w:val="none"/>
        </w:rPr>
        <w:t>传  真：025-52278761</w:t>
      </w:r>
    </w:p>
    <w:p w14:paraId="664146B3">
      <w:pPr>
        <w:pStyle w:val="468"/>
        <w:tabs>
          <w:tab w:val="left" w:pos="1134"/>
        </w:tabs>
        <w:spacing w:line="329" w:lineRule="auto"/>
        <w:ind w:left="709" w:firstLine="560"/>
        <w:rPr>
          <w:rFonts w:hint="eastAsia" w:ascii="宋体" w:hAnsi="宋体" w:cs="宋体"/>
          <w:sz w:val="24"/>
          <w:szCs w:val="24"/>
          <w:highlight w:val="none"/>
        </w:rPr>
      </w:pPr>
      <w:r>
        <w:rPr>
          <w:rFonts w:hint="eastAsia" w:ascii="宋体" w:hAnsi="宋体" w:cs="宋体"/>
          <w:sz w:val="24"/>
          <w:szCs w:val="24"/>
          <w:highlight w:val="none"/>
        </w:rPr>
        <w:t>邮箱：</w:t>
      </w:r>
      <w:r>
        <w:rPr>
          <w:highlight w:val="none"/>
        </w:rPr>
        <w:fldChar w:fldCharType="begin"/>
      </w:r>
      <w:r>
        <w:rPr>
          <w:highlight w:val="none"/>
        </w:rPr>
        <w:instrText xml:space="preserve"> HYPERLINK "mailto:hollyzbzy@artall.com" </w:instrText>
      </w:r>
      <w:r>
        <w:rPr>
          <w:highlight w:val="none"/>
        </w:rPr>
        <w:fldChar w:fldCharType="separate"/>
      </w:r>
      <w:r>
        <w:rPr>
          <w:rFonts w:hint="eastAsia" w:ascii="宋体" w:hAnsi="宋体" w:cs="宋体"/>
          <w:sz w:val="24"/>
          <w:szCs w:val="24"/>
          <w:highlight w:val="none"/>
        </w:rPr>
        <w:t>hollyzbzy@artall.com</w:t>
      </w:r>
      <w:r>
        <w:rPr>
          <w:rFonts w:hint="eastAsia" w:ascii="宋体" w:hAnsi="宋体" w:cs="宋体"/>
          <w:sz w:val="24"/>
          <w:szCs w:val="24"/>
          <w:highlight w:val="none"/>
        </w:rPr>
        <w:fldChar w:fldCharType="end"/>
      </w:r>
    </w:p>
    <w:p w14:paraId="52B63295">
      <w:pPr>
        <w:pStyle w:val="468"/>
        <w:tabs>
          <w:tab w:val="left" w:pos="1134"/>
        </w:tabs>
        <w:spacing w:line="329" w:lineRule="auto"/>
        <w:ind w:left="709" w:firstLine="560"/>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shd w:val="clear" w:color="auto" w:fill="FFFFFF"/>
        </w:rPr>
        <w:t>.</w:t>
      </w:r>
      <w:r>
        <w:rPr>
          <w:rFonts w:hint="eastAsia" w:ascii="宋体" w:hAnsi="宋体" w:cs="宋体"/>
          <w:sz w:val="24"/>
          <w:szCs w:val="24"/>
          <w:highlight w:val="none"/>
        </w:rPr>
        <w:t>项目联系方式</w:t>
      </w:r>
    </w:p>
    <w:p w14:paraId="107ACFBE">
      <w:pPr>
        <w:pStyle w:val="468"/>
        <w:tabs>
          <w:tab w:val="left" w:pos="1276"/>
        </w:tabs>
        <w:spacing w:line="329" w:lineRule="auto"/>
        <w:ind w:left="709" w:firstLine="480"/>
        <w:rPr>
          <w:rFonts w:hint="eastAsia" w:ascii="宋体" w:hAnsi="宋体" w:cs="宋体"/>
          <w:sz w:val="24"/>
          <w:szCs w:val="24"/>
          <w:highlight w:val="none"/>
        </w:rPr>
      </w:pPr>
      <w:r>
        <w:rPr>
          <w:rFonts w:hint="eastAsia" w:ascii="宋体" w:hAnsi="宋体" w:cs="宋体"/>
          <w:sz w:val="24"/>
          <w:szCs w:val="24"/>
          <w:highlight w:val="none"/>
        </w:rPr>
        <w:t>项目联系人：徐玥妮</w:t>
      </w:r>
    </w:p>
    <w:p w14:paraId="2FE14852">
      <w:pPr>
        <w:pStyle w:val="468"/>
        <w:tabs>
          <w:tab w:val="left" w:pos="1134"/>
        </w:tabs>
        <w:spacing w:line="329" w:lineRule="auto"/>
        <w:ind w:left="709" w:firstLine="560"/>
        <w:rPr>
          <w:rFonts w:hint="eastAsia" w:ascii="宋体" w:hAnsi="宋体" w:cs="宋体"/>
          <w:sz w:val="24"/>
          <w:szCs w:val="24"/>
          <w:highlight w:val="none"/>
        </w:rPr>
      </w:pPr>
      <w:r>
        <w:rPr>
          <w:rFonts w:hint="eastAsia" w:ascii="宋体" w:hAnsi="宋体" w:cs="宋体"/>
          <w:sz w:val="24"/>
          <w:szCs w:val="24"/>
          <w:highlight w:val="none"/>
        </w:rPr>
        <w:t>电话：025-52278370</w:t>
      </w:r>
      <w:bookmarkEnd w:id="15"/>
    </w:p>
    <w:p w14:paraId="1884EFE5">
      <w:pPr>
        <w:pStyle w:val="468"/>
        <w:tabs>
          <w:tab w:val="left" w:pos="1134"/>
        </w:tabs>
        <w:spacing w:line="329" w:lineRule="auto"/>
        <w:ind w:left="709" w:firstLine="560"/>
        <w:rPr>
          <w:rFonts w:hint="eastAsia" w:ascii="宋体" w:hAnsi="宋体" w:cs="宋体"/>
          <w:sz w:val="24"/>
          <w:szCs w:val="24"/>
          <w:highlight w:val="none"/>
        </w:rPr>
      </w:pPr>
      <w:r>
        <w:rPr>
          <w:rFonts w:hint="eastAsia" w:ascii="宋体" w:hAnsi="宋体" w:cs="宋体"/>
          <w:sz w:val="24"/>
          <w:szCs w:val="24"/>
          <w:highlight w:val="none"/>
        </w:rPr>
        <w:t>江苏弘业国际技术工程有限公司</w:t>
      </w:r>
    </w:p>
    <w:p w14:paraId="4F6407AD">
      <w:pPr>
        <w:pStyle w:val="468"/>
        <w:tabs>
          <w:tab w:val="left" w:pos="1134"/>
        </w:tabs>
        <w:spacing w:line="329" w:lineRule="auto"/>
        <w:ind w:left="709" w:firstLine="560"/>
        <w:rPr>
          <w:rFonts w:hint="eastAsia" w:ascii="宋体" w:hAnsi="宋体" w:cs="宋体"/>
          <w:sz w:val="24"/>
          <w:szCs w:val="24"/>
          <w:highlight w:val="none"/>
        </w:rPr>
      </w:pPr>
    </w:p>
    <w:p w14:paraId="779E761D">
      <w:pPr>
        <w:pStyle w:val="96"/>
        <w:rPr>
          <w:rFonts w:hint="eastAsia" w:ascii="宋体" w:hAnsi="宋体" w:eastAsia="宋体" w:cs="宋体"/>
          <w:sz w:val="24"/>
          <w:szCs w:val="24"/>
          <w:highlight w:val="none"/>
        </w:rPr>
      </w:pPr>
    </w:p>
    <w:p w14:paraId="564DE6EF">
      <w:pPr>
        <w:pStyle w:val="290"/>
        <w:ind w:left="420" w:firstLine="480"/>
        <w:rPr>
          <w:highlight w:val="none"/>
        </w:rPr>
      </w:pPr>
      <w:bookmarkStart w:id="16" w:name="_Toc1881"/>
    </w:p>
    <w:p w14:paraId="7482FF82">
      <w:pPr>
        <w:jc w:val="center"/>
        <w:outlineLvl w:val="0"/>
        <w:rPr>
          <w:b/>
          <w:sz w:val="44"/>
          <w:szCs w:val="44"/>
          <w:highlight w:val="none"/>
        </w:rPr>
      </w:pPr>
      <w:r>
        <w:rPr>
          <w:rFonts w:hint="eastAsia"/>
          <w:b/>
          <w:sz w:val="44"/>
          <w:szCs w:val="44"/>
          <w:highlight w:val="none"/>
        </w:rPr>
        <w:br w:type="page" w:clear="all"/>
      </w:r>
      <w:r>
        <w:rPr>
          <w:rFonts w:hint="eastAsia"/>
          <w:b/>
          <w:sz w:val="44"/>
          <w:szCs w:val="44"/>
          <w:highlight w:val="none"/>
        </w:rPr>
        <w:t>第二部分  投标人须知</w:t>
      </w:r>
      <w:bookmarkEnd w:id="16"/>
    </w:p>
    <w:p w14:paraId="5310BA75">
      <w:pPr>
        <w:pStyle w:val="221"/>
        <w:keepNext w:val="0"/>
        <w:keepLines w:val="0"/>
        <w:spacing w:before="0" w:after="0" w:line="240" w:lineRule="auto"/>
        <w:jc w:val="center"/>
        <w:rPr>
          <w:highlight w:val="none"/>
        </w:rPr>
      </w:pPr>
      <w:bookmarkStart w:id="17" w:name="_Toc17705"/>
      <w:bookmarkStart w:id="18" w:name="_Toc514054471"/>
      <w:r>
        <w:rPr>
          <w:rFonts w:hint="eastAsia"/>
          <w:highlight w:val="none"/>
        </w:rPr>
        <w:t>投标人须知前附表</w:t>
      </w:r>
      <w:bookmarkEnd w:id="17"/>
      <w:bookmarkEnd w:id="18"/>
    </w:p>
    <w:tbl>
      <w:tblPr>
        <w:tblStyle w:val="3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40B85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395A14CF">
            <w:pPr>
              <w:jc w:val="center"/>
              <w:rPr>
                <w:rFonts w:hint="eastAsia" w:ascii="仿宋_GB2312" w:hAnsi="仿宋" w:eastAsia="仿宋_GB2312"/>
                <w:b/>
                <w:bCs/>
                <w:sz w:val="24"/>
                <w:szCs w:val="24"/>
                <w:highlight w:val="none"/>
              </w:rPr>
            </w:pPr>
            <w:r>
              <w:rPr>
                <w:rFonts w:hint="eastAsia" w:ascii="仿宋_GB2312" w:hAnsi="仿宋" w:eastAsia="仿宋_GB2312"/>
                <w:b/>
                <w:bCs/>
                <w:sz w:val="24"/>
                <w:szCs w:val="24"/>
                <w:highlight w:val="none"/>
              </w:rPr>
              <w:t>序号</w:t>
            </w:r>
          </w:p>
        </w:tc>
        <w:tc>
          <w:tcPr>
            <w:tcW w:w="2519" w:type="dxa"/>
            <w:noWrap w:val="0"/>
            <w:vAlign w:val="center"/>
          </w:tcPr>
          <w:p w14:paraId="4A740C26">
            <w:pPr>
              <w:jc w:val="center"/>
              <w:rPr>
                <w:rFonts w:hint="eastAsia" w:ascii="仿宋_GB2312" w:hAnsi="仿宋" w:eastAsia="仿宋_GB2312"/>
                <w:b/>
                <w:sz w:val="24"/>
                <w:szCs w:val="24"/>
                <w:highlight w:val="none"/>
              </w:rPr>
            </w:pPr>
            <w:r>
              <w:rPr>
                <w:rFonts w:hint="eastAsia" w:ascii="仿宋_GB2312" w:hAnsi="仿宋" w:eastAsia="仿宋_GB2312"/>
                <w:b/>
                <w:sz w:val="24"/>
                <w:szCs w:val="24"/>
                <w:highlight w:val="none"/>
              </w:rPr>
              <w:t>内容</w:t>
            </w:r>
          </w:p>
        </w:tc>
        <w:tc>
          <w:tcPr>
            <w:tcW w:w="6297" w:type="dxa"/>
            <w:noWrap w:val="0"/>
            <w:vAlign w:val="center"/>
          </w:tcPr>
          <w:p w14:paraId="322D67C4">
            <w:pPr>
              <w:jc w:val="center"/>
              <w:rPr>
                <w:rFonts w:hint="eastAsia" w:ascii="仿宋_GB2312" w:hAnsi="仿宋" w:eastAsia="仿宋_GB2312"/>
                <w:b/>
                <w:bCs/>
                <w:sz w:val="24"/>
                <w:szCs w:val="24"/>
                <w:highlight w:val="none"/>
              </w:rPr>
            </w:pPr>
            <w:r>
              <w:rPr>
                <w:rFonts w:hint="eastAsia" w:ascii="仿宋_GB2312" w:hAnsi="仿宋" w:eastAsia="仿宋_GB2312"/>
                <w:b/>
                <w:bCs/>
                <w:sz w:val="24"/>
                <w:szCs w:val="24"/>
                <w:highlight w:val="none"/>
              </w:rPr>
              <w:t>说明及要求</w:t>
            </w:r>
          </w:p>
        </w:tc>
      </w:tr>
      <w:tr w14:paraId="49D9F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D1AA425">
            <w:pPr>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2519" w:type="dxa"/>
            <w:noWrap w:val="0"/>
            <w:vAlign w:val="center"/>
          </w:tcPr>
          <w:p w14:paraId="76D59C1E">
            <w:pPr>
              <w:jc w:val="center"/>
              <w:rPr>
                <w:rFonts w:hint="eastAsia" w:ascii="宋体" w:hAnsi="宋体" w:cs="宋体"/>
                <w:sz w:val="24"/>
                <w:szCs w:val="24"/>
                <w:highlight w:val="none"/>
              </w:rPr>
            </w:pPr>
            <w:r>
              <w:rPr>
                <w:rFonts w:hint="eastAsia" w:ascii="宋体" w:hAnsi="宋体" w:cs="宋体"/>
                <w:sz w:val="24"/>
                <w:szCs w:val="24"/>
                <w:highlight w:val="none"/>
              </w:rPr>
              <w:t>特别说明</w:t>
            </w:r>
          </w:p>
        </w:tc>
        <w:tc>
          <w:tcPr>
            <w:tcW w:w="6297" w:type="dxa"/>
            <w:noWrap w:val="0"/>
            <w:vAlign w:val="center"/>
          </w:tcPr>
          <w:p w14:paraId="3CB07C90">
            <w:pPr>
              <w:rPr>
                <w:rFonts w:hint="eastAsia" w:ascii="宋体" w:hAnsi="宋体" w:cs="宋体"/>
                <w:sz w:val="24"/>
                <w:szCs w:val="24"/>
                <w:highlight w:val="none"/>
              </w:rPr>
            </w:pPr>
            <w:r>
              <w:rPr>
                <w:rFonts w:hint="eastAsia" w:ascii="宋体" w:hAnsi="宋体" w:cs="宋体"/>
                <w:b/>
                <w:bCs/>
                <w:sz w:val="24"/>
                <w:szCs w:val="24"/>
                <w:highlight w:val="none"/>
              </w:rPr>
              <w:t>若有内容与投标人须知前附表内容不一致时，以投标人须知前附表为准。</w:t>
            </w:r>
          </w:p>
        </w:tc>
      </w:tr>
      <w:tr w14:paraId="70DF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7EE101F7">
            <w:pPr>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2519" w:type="dxa"/>
            <w:noWrap w:val="0"/>
            <w:vAlign w:val="center"/>
          </w:tcPr>
          <w:p w14:paraId="0C5AA552">
            <w:pPr>
              <w:jc w:val="center"/>
              <w:rPr>
                <w:rFonts w:hint="eastAsia" w:ascii="宋体" w:hAnsi="宋体" w:cs="宋体"/>
                <w:sz w:val="24"/>
                <w:szCs w:val="24"/>
                <w:highlight w:val="none"/>
              </w:rPr>
            </w:pPr>
            <w:r>
              <w:rPr>
                <w:rFonts w:hint="eastAsia" w:ascii="宋体" w:hAnsi="宋体" w:cs="宋体"/>
                <w:sz w:val="24"/>
                <w:szCs w:val="24"/>
                <w:highlight w:val="none"/>
              </w:rPr>
              <w:t>投标保证金</w:t>
            </w:r>
          </w:p>
        </w:tc>
        <w:tc>
          <w:tcPr>
            <w:tcW w:w="6297" w:type="dxa"/>
            <w:noWrap w:val="0"/>
            <w:vAlign w:val="center"/>
          </w:tcPr>
          <w:p w14:paraId="0636049D">
            <w:pPr>
              <w:rPr>
                <w:rFonts w:hint="eastAsia" w:ascii="宋体" w:hAnsi="宋体" w:cs="宋体"/>
                <w:sz w:val="24"/>
                <w:szCs w:val="24"/>
                <w:highlight w:val="none"/>
              </w:rPr>
            </w:pPr>
            <w:r>
              <w:rPr>
                <w:rFonts w:hint="eastAsia" w:ascii="宋体" w:hAnsi="宋体" w:cs="宋体"/>
                <w:sz w:val="24"/>
                <w:szCs w:val="24"/>
                <w:highlight w:val="none"/>
              </w:rPr>
              <w:t>本项目不收取投标保证金</w:t>
            </w:r>
          </w:p>
        </w:tc>
      </w:tr>
      <w:tr w14:paraId="41FA9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48307B58">
            <w:pPr>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2519" w:type="dxa"/>
            <w:noWrap w:val="0"/>
            <w:vAlign w:val="center"/>
          </w:tcPr>
          <w:p w14:paraId="29B1DFB6">
            <w:pPr>
              <w:jc w:val="center"/>
              <w:rPr>
                <w:rFonts w:hint="eastAsia" w:ascii="宋体" w:hAnsi="宋体" w:cs="宋体"/>
                <w:sz w:val="24"/>
                <w:szCs w:val="24"/>
                <w:highlight w:val="none"/>
              </w:rPr>
            </w:pPr>
            <w:r>
              <w:rPr>
                <w:rFonts w:hint="eastAsia" w:ascii="宋体" w:hAnsi="宋体" w:cs="宋体"/>
                <w:sz w:val="24"/>
                <w:szCs w:val="24"/>
                <w:highlight w:val="none"/>
              </w:rPr>
              <w:t>投标有效期</w:t>
            </w:r>
          </w:p>
        </w:tc>
        <w:tc>
          <w:tcPr>
            <w:tcW w:w="6297" w:type="dxa"/>
            <w:noWrap w:val="0"/>
            <w:vAlign w:val="center"/>
          </w:tcPr>
          <w:p w14:paraId="12717FC6">
            <w:pPr>
              <w:widowControl/>
              <w:rPr>
                <w:rFonts w:hint="eastAsia" w:ascii="宋体" w:hAnsi="宋体" w:cs="宋体"/>
                <w:sz w:val="24"/>
                <w:szCs w:val="24"/>
                <w:highlight w:val="none"/>
              </w:rPr>
            </w:pPr>
            <w:bookmarkStart w:id="19" w:name="EBd40b5fb42f2944a3b45e579ce3941f02"/>
            <w:r>
              <w:rPr>
                <w:rFonts w:hint="eastAsia" w:ascii="宋体" w:hAnsi="宋体" w:cs="宋体"/>
                <w:sz w:val="24"/>
                <w:szCs w:val="24"/>
                <w:highlight w:val="none"/>
              </w:rPr>
              <w:t>90</w:t>
            </w:r>
            <w:bookmarkEnd w:id="19"/>
            <w:r>
              <w:rPr>
                <w:rFonts w:hint="eastAsia" w:ascii="宋体" w:hAnsi="宋体" w:cs="宋体"/>
                <w:sz w:val="24"/>
                <w:szCs w:val="24"/>
                <w:highlight w:val="none"/>
              </w:rPr>
              <w:t>日（从提交投标文件截止之日起算）</w:t>
            </w:r>
          </w:p>
        </w:tc>
      </w:tr>
      <w:tr w14:paraId="32D5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66785AA">
            <w:pPr>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2519" w:type="dxa"/>
            <w:noWrap w:val="0"/>
            <w:vAlign w:val="center"/>
          </w:tcPr>
          <w:p w14:paraId="28410218">
            <w:pPr>
              <w:jc w:val="center"/>
              <w:rPr>
                <w:rFonts w:hint="eastAsia" w:ascii="宋体" w:hAnsi="宋体" w:cs="宋体"/>
                <w:sz w:val="24"/>
                <w:szCs w:val="24"/>
                <w:highlight w:val="none"/>
              </w:rPr>
            </w:pPr>
            <w:r>
              <w:rPr>
                <w:rFonts w:hint="eastAsia" w:ascii="宋体" w:hAnsi="宋体" w:cs="宋体"/>
                <w:sz w:val="24"/>
                <w:szCs w:val="24"/>
                <w:highlight w:val="none"/>
              </w:rPr>
              <w:t>评标办法</w:t>
            </w:r>
          </w:p>
        </w:tc>
        <w:tc>
          <w:tcPr>
            <w:tcW w:w="6297" w:type="dxa"/>
            <w:noWrap w:val="0"/>
            <w:vAlign w:val="center"/>
          </w:tcPr>
          <w:p w14:paraId="39F1C718">
            <w:pPr>
              <w:widowControl/>
              <w:rPr>
                <w:rFonts w:hint="eastAsia" w:ascii="宋体" w:hAnsi="宋体" w:cs="宋体"/>
                <w:sz w:val="24"/>
                <w:szCs w:val="24"/>
                <w:highlight w:val="none"/>
              </w:rPr>
            </w:pPr>
            <w:r>
              <w:rPr>
                <w:rFonts w:hint="eastAsia" w:ascii="宋体" w:hAnsi="宋体" w:cs="宋体"/>
                <w:sz w:val="24"/>
                <w:szCs w:val="24"/>
                <w:highlight w:val="none"/>
              </w:rPr>
              <w:t>综合评分法</w:t>
            </w:r>
          </w:p>
          <w:p w14:paraId="1D856005">
            <w:pPr>
              <w:widowControl/>
              <w:rPr>
                <w:rFonts w:hint="eastAsia" w:ascii="宋体" w:hAnsi="宋体" w:cs="宋体"/>
                <w:sz w:val="24"/>
                <w:szCs w:val="24"/>
                <w:highlight w:val="none"/>
              </w:rPr>
            </w:pPr>
            <w:r>
              <w:rPr>
                <w:rFonts w:hint="eastAsia" w:ascii="宋体" w:hAnsi="宋体" w:cs="宋体"/>
                <w:sz w:val="24"/>
                <w:szCs w:val="24"/>
                <w:highlight w:val="none"/>
              </w:rPr>
              <w:t>具体评标办法详见招标文件第三部分。</w:t>
            </w:r>
          </w:p>
          <w:p w14:paraId="44E60773">
            <w:pPr>
              <w:widowControl/>
              <w:rPr>
                <w:rFonts w:hint="eastAsia" w:ascii="宋体" w:hAnsi="宋体" w:cs="宋体"/>
                <w:sz w:val="24"/>
                <w:szCs w:val="24"/>
                <w:highlight w:val="none"/>
              </w:rPr>
            </w:pPr>
            <w:r>
              <w:rPr>
                <w:rFonts w:hint="eastAsia" w:ascii="宋体" w:hAnsi="宋体" w:cs="宋体"/>
                <w:sz w:val="24"/>
                <w:szCs w:val="24"/>
                <w:highlight w:val="none"/>
              </w:rPr>
              <w:t>评标委员会按照招标文件规定的评标办法和标准，确定各投标人经评审后的得分，并按得分由高到低进行排序。</w:t>
            </w:r>
          </w:p>
        </w:tc>
      </w:tr>
      <w:tr w14:paraId="7BCB4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F2088F3">
            <w:pPr>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2519" w:type="dxa"/>
            <w:noWrap w:val="0"/>
            <w:vAlign w:val="center"/>
          </w:tcPr>
          <w:p w14:paraId="13C96B9D">
            <w:pPr>
              <w:jc w:val="center"/>
              <w:rPr>
                <w:rFonts w:hint="eastAsia" w:ascii="宋体" w:hAnsi="宋体" w:cs="宋体"/>
                <w:sz w:val="24"/>
                <w:szCs w:val="24"/>
                <w:highlight w:val="none"/>
              </w:rPr>
            </w:pPr>
            <w:r>
              <w:rPr>
                <w:rFonts w:hint="eastAsia" w:ascii="宋体" w:hAnsi="宋体" w:cs="宋体"/>
                <w:sz w:val="24"/>
                <w:szCs w:val="24"/>
                <w:highlight w:val="none"/>
              </w:rPr>
              <w:t>中标通知书领取</w:t>
            </w:r>
          </w:p>
        </w:tc>
        <w:tc>
          <w:tcPr>
            <w:tcW w:w="6297" w:type="dxa"/>
            <w:noWrap w:val="0"/>
            <w:vAlign w:val="center"/>
          </w:tcPr>
          <w:p w14:paraId="5DB2F607">
            <w:pPr>
              <w:widowControl/>
              <w:rPr>
                <w:rFonts w:hint="eastAsia" w:ascii="宋体" w:hAnsi="宋体" w:cs="宋体"/>
                <w:sz w:val="24"/>
                <w:szCs w:val="24"/>
                <w:highlight w:val="none"/>
              </w:rPr>
            </w:pPr>
            <w:r>
              <w:rPr>
                <w:rFonts w:hint="eastAsia" w:ascii="宋体" w:hAnsi="宋体" w:cs="宋体"/>
                <w:sz w:val="24"/>
                <w:szCs w:val="24"/>
                <w:highlight w:val="none"/>
              </w:rPr>
              <w:t>领取地址：南京市中华路50号弘业大厦10楼</w:t>
            </w:r>
          </w:p>
          <w:p w14:paraId="59953B2F">
            <w:pPr>
              <w:widowControl/>
              <w:rPr>
                <w:rFonts w:hint="eastAsia" w:ascii="宋体" w:hAnsi="宋体" w:cs="宋体"/>
                <w:sz w:val="24"/>
                <w:szCs w:val="24"/>
                <w:highlight w:val="none"/>
              </w:rPr>
            </w:pPr>
            <w:r>
              <w:rPr>
                <w:rFonts w:hint="eastAsia" w:ascii="宋体" w:hAnsi="宋体" w:cs="宋体"/>
                <w:sz w:val="24"/>
                <w:szCs w:val="24"/>
                <w:highlight w:val="none"/>
              </w:rPr>
              <w:t>需提供材料：中标服务费缴纳截图</w:t>
            </w:r>
          </w:p>
        </w:tc>
      </w:tr>
      <w:tr w14:paraId="1D94A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50517872">
            <w:pPr>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2519" w:type="dxa"/>
            <w:noWrap w:val="0"/>
            <w:vAlign w:val="center"/>
          </w:tcPr>
          <w:p w14:paraId="685FD6E1">
            <w:pPr>
              <w:jc w:val="center"/>
              <w:rPr>
                <w:rFonts w:hint="eastAsia" w:ascii="宋体" w:hAnsi="宋体" w:cs="宋体"/>
                <w:sz w:val="24"/>
                <w:szCs w:val="24"/>
                <w:highlight w:val="none"/>
              </w:rPr>
            </w:pPr>
            <w:r>
              <w:rPr>
                <w:rFonts w:hint="eastAsia" w:ascii="宋体" w:hAnsi="宋体" w:cs="宋体"/>
                <w:sz w:val="24"/>
                <w:szCs w:val="24"/>
                <w:highlight w:val="none"/>
              </w:rPr>
              <w:t>中标服务费的收取</w:t>
            </w:r>
          </w:p>
        </w:tc>
        <w:tc>
          <w:tcPr>
            <w:tcW w:w="6297" w:type="dxa"/>
            <w:noWrap w:val="0"/>
            <w:vAlign w:val="center"/>
          </w:tcPr>
          <w:p w14:paraId="47994DC7">
            <w:pPr>
              <w:widowControl/>
              <w:rPr>
                <w:rFonts w:hint="eastAsia" w:ascii="宋体" w:hAnsi="宋体" w:cs="宋体"/>
                <w:sz w:val="24"/>
                <w:szCs w:val="24"/>
                <w:highlight w:val="none"/>
              </w:rPr>
            </w:pPr>
            <w:r>
              <w:rPr>
                <w:rFonts w:hint="eastAsia" w:ascii="宋体" w:hAnsi="宋体" w:cs="宋体"/>
                <w:sz w:val="24"/>
                <w:szCs w:val="24"/>
                <w:highlight w:val="none"/>
              </w:rPr>
              <w:t>本项目中标服务费参照发改价格[2011]534号</w:t>
            </w:r>
            <w:r>
              <w:rPr>
                <w:rFonts w:hint="eastAsia" w:ascii="宋体" w:hAnsi="宋体" w:cs="宋体"/>
                <w:sz w:val="24"/>
                <w:highlight w:val="none"/>
              </w:rPr>
              <w:t>文收取</w:t>
            </w:r>
            <w:r>
              <w:rPr>
                <w:rFonts w:hint="eastAsia" w:ascii="宋体" w:hAnsi="宋体" w:cs="宋体"/>
                <w:sz w:val="24"/>
                <w:szCs w:val="24"/>
                <w:highlight w:val="none"/>
              </w:rPr>
              <w:t>，中标人应在领取中标通知书前缴纳。</w:t>
            </w:r>
          </w:p>
          <w:p w14:paraId="6AE94077">
            <w:pPr>
              <w:widowControl/>
              <w:rPr>
                <w:rFonts w:hint="eastAsia"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账户信息：</w:t>
            </w:r>
          </w:p>
          <w:p w14:paraId="049844F2">
            <w:pPr>
              <w:widowControl/>
              <w:rPr>
                <w:rFonts w:hint="eastAsia"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户    名：江苏弘业国际技术工程有限公司</w:t>
            </w:r>
          </w:p>
          <w:p w14:paraId="4FD764A4">
            <w:pPr>
              <w:widowControl/>
              <w:rPr>
                <w:rFonts w:hint="eastAsia"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 xml:space="preserve">开户银行：中国银行南京市中华路支行   </w:t>
            </w:r>
          </w:p>
          <w:p w14:paraId="09FBE146">
            <w:pPr>
              <w:widowControl/>
              <w:rPr>
                <w:highlight w:val="none"/>
              </w:rPr>
            </w:pPr>
            <w:r>
              <w:rPr>
                <w:rFonts w:hint="eastAsia" w:ascii="宋体" w:hAnsi="宋体" w:cs="宋体"/>
                <w:sz w:val="24"/>
                <w:szCs w:val="24"/>
                <w:highlight w:val="none"/>
              </w:rPr>
              <w:tab/>
            </w:r>
            <w:r>
              <w:rPr>
                <w:rFonts w:hint="eastAsia" w:ascii="宋体" w:hAnsi="宋体" w:cs="宋体"/>
                <w:sz w:val="24"/>
                <w:szCs w:val="24"/>
                <w:highlight w:val="none"/>
              </w:rPr>
              <w:t>账    号：527460884999</w:t>
            </w:r>
          </w:p>
        </w:tc>
      </w:tr>
      <w:tr w14:paraId="32701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noWrap w:val="0"/>
            <w:vAlign w:val="center"/>
          </w:tcPr>
          <w:p w14:paraId="56B08E7C">
            <w:pPr>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2519" w:type="dxa"/>
            <w:noWrap w:val="0"/>
            <w:vAlign w:val="center"/>
          </w:tcPr>
          <w:p w14:paraId="493AB6B5">
            <w:pPr>
              <w:jc w:val="center"/>
              <w:rPr>
                <w:rFonts w:hint="eastAsia" w:ascii="宋体" w:hAnsi="宋体" w:cs="宋体"/>
                <w:sz w:val="24"/>
                <w:szCs w:val="24"/>
                <w:highlight w:val="none"/>
              </w:rPr>
            </w:pPr>
            <w:r>
              <w:rPr>
                <w:rFonts w:hint="eastAsia" w:ascii="宋体" w:hAnsi="宋体" w:cs="宋体"/>
                <w:sz w:val="24"/>
                <w:szCs w:val="24"/>
                <w:highlight w:val="none"/>
              </w:rPr>
              <w:t>履约保证金</w:t>
            </w:r>
          </w:p>
        </w:tc>
        <w:tc>
          <w:tcPr>
            <w:tcW w:w="6297" w:type="dxa"/>
            <w:noWrap w:val="0"/>
            <w:vAlign w:val="center"/>
          </w:tcPr>
          <w:p w14:paraId="2CB89E7F">
            <w:pPr>
              <w:rPr>
                <w:highlight w:val="none"/>
              </w:rPr>
            </w:pPr>
            <w:r>
              <w:rPr>
                <w:rFonts w:hint="eastAsia" w:ascii="宋体" w:hAnsi="宋体" w:cs="宋体"/>
                <w:sz w:val="24"/>
                <w:szCs w:val="24"/>
                <w:highlight w:val="none"/>
              </w:rPr>
              <w:t>本项目不适用。</w:t>
            </w:r>
          </w:p>
        </w:tc>
      </w:tr>
      <w:tr w14:paraId="614AF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noWrap w:val="0"/>
            <w:vAlign w:val="center"/>
          </w:tcPr>
          <w:p w14:paraId="6C751121">
            <w:pPr>
              <w:jc w:val="center"/>
              <w:rPr>
                <w:rFonts w:hint="eastAsia" w:ascii="宋体" w:hAnsi="宋体" w:cs="宋体"/>
                <w:sz w:val="24"/>
                <w:szCs w:val="24"/>
                <w:highlight w:val="none"/>
              </w:rPr>
            </w:pPr>
            <w:bookmarkStart w:id="20" w:name="_Toc25522"/>
            <w:bookmarkStart w:id="21" w:name="_Toc514054472"/>
            <w:r>
              <w:rPr>
                <w:rFonts w:hint="eastAsia" w:ascii="宋体" w:hAnsi="宋体" w:cs="宋体"/>
                <w:sz w:val="24"/>
                <w:szCs w:val="24"/>
                <w:highlight w:val="none"/>
              </w:rPr>
              <w:t>8</w:t>
            </w:r>
          </w:p>
        </w:tc>
        <w:tc>
          <w:tcPr>
            <w:tcW w:w="2519" w:type="dxa"/>
            <w:noWrap w:val="0"/>
            <w:vAlign w:val="center"/>
          </w:tcPr>
          <w:p w14:paraId="3F8B5EDD">
            <w:pPr>
              <w:jc w:val="center"/>
              <w:rPr>
                <w:rFonts w:hint="eastAsia" w:ascii="宋体" w:hAnsi="宋体" w:cs="宋体"/>
                <w:sz w:val="24"/>
                <w:szCs w:val="24"/>
                <w:highlight w:val="none"/>
              </w:rPr>
            </w:pPr>
            <w:r>
              <w:rPr>
                <w:rFonts w:hint="eastAsia" w:ascii="宋体" w:hAnsi="宋体" w:cs="宋体"/>
                <w:sz w:val="24"/>
                <w:szCs w:val="24"/>
                <w:highlight w:val="none"/>
              </w:rPr>
              <w:t>采购标的所属行业</w:t>
            </w:r>
          </w:p>
        </w:tc>
        <w:tc>
          <w:tcPr>
            <w:tcW w:w="6297" w:type="dxa"/>
            <w:noWrap w:val="0"/>
            <w:vAlign w:val="center"/>
          </w:tcPr>
          <w:p w14:paraId="25004AC9">
            <w:pPr>
              <w:rPr>
                <w:rFonts w:hint="eastAsia" w:ascii="宋体" w:hAnsi="宋体" w:cs="宋体"/>
                <w:sz w:val="24"/>
                <w:szCs w:val="24"/>
                <w:highlight w:val="none"/>
              </w:rPr>
            </w:pPr>
            <w:r>
              <w:rPr>
                <w:rFonts w:hint="eastAsia" w:ascii="宋体" w:hAnsi="宋体" w:cs="宋体"/>
                <w:sz w:val="24"/>
                <w:szCs w:val="24"/>
                <w:highlight w:val="none"/>
              </w:rPr>
              <w:t>本项目采购标的对应的行业主要为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其他未列明行业</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tc>
      </w:tr>
    </w:tbl>
    <w:p w14:paraId="5EBF5795">
      <w:pPr>
        <w:pStyle w:val="624"/>
        <w:outlineLvl w:val="1"/>
        <w:rPr>
          <w:rFonts w:hint="eastAsia" w:ascii="宋体" w:hAnsi="宋体" w:eastAsia="宋体" w:cs="宋体"/>
          <w:highlight w:val="none"/>
        </w:rPr>
      </w:pPr>
      <w:r>
        <w:rPr>
          <w:rFonts w:hint="eastAsia" w:ascii="宋体" w:hAnsi="宋体" w:eastAsia="宋体" w:cs="宋体"/>
          <w:highlight w:val="none"/>
        </w:rPr>
        <w:t>一、总 则</w:t>
      </w:r>
      <w:bookmarkEnd w:id="20"/>
      <w:bookmarkEnd w:id="21"/>
    </w:p>
    <w:p w14:paraId="7334852C">
      <w:pPr>
        <w:spacing w:line="500" w:lineRule="exact"/>
        <w:ind w:firstLine="482"/>
        <w:outlineLvl w:val="2"/>
        <w:rPr>
          <w:rFonts w:hint="eastAsia" w:ascii="宋体" w:hAnsi="宋体" w:cs="宋体"/>
          <w:b/>
          <w:sz w:val="24"/>
          <w:highlight w:val="none"/>
        </w:rPr>
      </w:pPr>
      <w:r>
        <w:rPr>
          <w:rFonts w:hint="eastAsia" w:ascii="宋体" w:hAnsi="宋体" w:cs="宋体"/>
          <w:b/>
          <w:sz w:val="24"/>
          <w:highlight w:val="none"/>
        </w:rPr>
        <w:t>1、招标方式</w:t>
      </w:r>
    </w:p>
    <w:p w14:paraId="4B6075F1">
      <w:pPr>
        <w:pStyle w:val="250"/>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本次招标采取公开招标方式。</w:t>
      </w:r>
    </w:p>
    <w:p w14:paraId="171A47BD">
      <w:pPr>
        <w:spacing w:line="500" w:lineRule="exact"/>
        <w:ind w:firstLine="482"/>
        <w:outlineLvl w:val="2"/>
        <w:rPr>
          <w:rFonts w:hint="eastAsia" w:ascii="宋体" w:hAnsi="宋体" w:cs="宋体"/>
          <w:b/>
          <w:sz w:val="24"/>
          <w:highlight w:val="none"/>
        </w:rPr>
      </w:pPr>
      <w:r>
        <w:rPr>
          <w:rFonts w:hint="eastAsia" w:ascii="宋体" w:hAnsi="宋体" w:cs="宋体"/>
          <w:b/>
          <w:sz w:val="24"/>
          <w:highlight w:val="none"/>
        </w:rPr>
        <w:t>2、合格的投标人</w:t>
      </w:r>
    </w:p>
    <w:p w14:paraId="42326B98">
      <w:pPr>
        <w:spacing w:line="500" w:lineRule="exact"/>
        <w:ind w:firstLine="480"/>
        <w:rPr>
          <w:rFonts w:hint="eastAsia" w:ascii="宋体" w:hAnsi="宋体" w:cs="宋体"/>
          <w:sz w:val="24"/>
          <w:highlight w:val="none"/>
          <w:shd w:val="clear" w:color="auto" w:fill="FFC000"/>
        </w:rPr>
      </w:pPr>
      <w:r>
        <w:rPr>
          <w:rFonts w:hint="eastAsia" w:ascii="宋体" w:hAnsi="宋体" w:cs="宋体"/>
          <w:sz w:val="24"/>
          <w:highlight w:val="none"/>
        </w:rPr>
        <w:t>2.1合格的投标人必须是有能力按照本招标文件规定的要求提供货物和相关服务，且具有独立承担民事等法律责任的法人或其它经济组织等。</w:t>
      </w:r>
    </w:p>
    <w:p w14:paraId="444762CA">
      <w:pPr>
        <w:spacing w:line="500" w:lineRule="exact"/>
        <w:ind w:firstLine="480"/>
        <w:rPr>
          <w:rFonts w:hint="eastAsia" w:ascii="宋体" w:hAnsi="宋体" w:cs="宋体"/>
          <w:sz w:val="24"/>
          <w:highlight w:val="none"/>
        </w:rPr>
      </w:pPr>
      <w:r>
        <w:rPr>
          <w:rFonts w:hint="eastAsia" w:ascii="宋体" w:hAnsi="宋体" w:cs="宋体"/>
          <w:sz w:val="24"/>
          <w:highlight w:val="none"/>
        </w:rPr>
        <w:t>2.2合格的投标人必须符合招标文件第一部分《招标公告》第二条及须知前附表相关规定，且具备独立完成本项目的能力，中标后不允许分包、转包。</w:t>
      </w:r>
    </w:p>
    <w:p w14:paraId="63D8002F">
      <w:pPr>
        <w:spacing w:line="500" w:lineRule="exact"/>
        <w:ind w:firstLine="480"/>
        <w:rPr>
          <w:rFonts w:hint="eastAsia" w:ascii="宋体" w:hAnsi="宋体" w:cs="宋体"/>
          <w:sz w:val="24"/>
          <w:highlight w:val="none"/>
        </w:rPr>
      </w:pPr>
      <w:r>
        <w:rPr>
          <w:rFonts w:hint="eastAsia" w:ascii="宋体" w:hAnsi="宋体" w:cs="宋体"/>
          <w:sz w:val="24"/>
          <w:highlight w:val="none"/>
        </w:rPr>
        <w:t>2.3合格的投标人应遵守《中华人民共和国政府采购法》、《中华人民共和国政府采购法实施条例》、《政府采购货物和服务招标投标管理办法》等法律、行政法规、部门规章和规范性文件。</w:t>
      </w:r>
    </w:p>
    <w:p w14:paraId="7A810D5C">
      <w:pPr>
        <w:spacing w:line="500" w:lineRule="exact"/>
        <w:ind w:firstLine="482"/>
        <w:outlineLvl w:val="2"/>
        <w:rPr>
          <w:rFonts w:hint="eastAsia" w:ascii="宋体" w:hAnsi="宋体" w:cs="宋体"/>
          <w:b/>
          <w:sz w:val="24"/>
          <w:highlight w:val="none"/>
        </w:rPr>
      </w:pPr>
      <w:r>
        <w:rPr>
          <w:rFonts w:hint="eastAsia" w:ascii="宋体" w:hAnsi="宋体" w:cs="宋体"/>
          <w:b/>
          <w:sz w:val="24"/>
          <w:highlight w:val="none"/>
        </w:rPr>
        <w:t>3、适用法律</w:t>
      </w:r>
    </w:p>
    <w:p w14:paraId="4893816B">
      <w:pPr>
        <w:spacing w:line="500" w:lineRule="exact"/>
        <w:ind w:firstLine="480"/>
        <w:rPr>
          <w:rFonts w:hint="eastAsia" w:ascii="宋体" w:hAnsi="宋体" w:cs="宋体"/>
          <w:sz w:val="24"/>
          <w:highlight w:val="none"/>
        </w:rPr>
      </w:pPr>
      <w:r>
        <w:rPr>
          <w:rFonts w:hint="eastAsia" w:ascii="宋体" w:hAnsi="宋体" w:cs="宋体"/>
          <w:sz w:val="24"/>
          <w:highlight w:val="none"/>
        </w:rPr>
        <w:t>本次招标及由本次招标产生的合同受中华人民共和国的相关法律、法规制约和保护。</w:t>
      </w:r>
    </w:p>
    <w:p w14:paraId="6E40A4AC">
      <w:pPr>
        <w:spacing w:line="500" w:lineRule="exact"/>
        <w:ind w:firstLine="482"/>
        <w:outlineLvl w:val="2"/>
        <w:rPr>
          <w:rFonts w:hint="eastAsia" w:ascii="宋体" w:hAnsi="宋体" w:cs="宋体"/>
          <w:b/>
          <w:sz w:val="24"/>
          <w:highlight w:val="none"/>
        </w:rPr>
      </w:pPr>
      <w:r>
        <w:rPr>
          <w:rFonts w:hint="eastAsia" w:ascii="宋体" w:hAnsi="宋体" w:cs="宋体"/>
          <w:b/>
          <w:sz w:val="24"/>
          <w:highlight w:val="none"/>
        </w:rPr>
        <w:t>4、投标费用</w:t>
      </w:r>
    </w:p>
    <w:p w14:paraId="2E8360A6">
      <w:pPr>
        <w:spacing w:line="500" w:lineRule="exact"/>
        <w:ind w:firstLine="480"/>
        <w:rPr>
          <w:rFonts w:hint="eastAsia" w:ascii="宋体" w:hAnsi="宋体" w:cs="宋体"/>
          <w:sz w:val="24"/>
          <w:highlight w:val="none"/>
        </w:rPr>
      </w:pPr>
      <w:r>
        <w:rPr>
          <w:rFonts w:hint="eastAsia" w:ascii="宋体" w:hAnsi="宋体" w:cs="宋体"/>
          <w:sz w:val="24"/>
          <w:highlight w:val="none"/>
        </w:rPr>
        <w:t>投标人应自行承担所有参加投标有关的费用。</w:t>
      </w:r>
    </w:p>
    <w:p w14:paraId="12B66C26">
      <w:pPr>
        <w:spacing w:line="500" w:lineRule="exact"/>
        <w:ind w:firstLine="482"/>
        <w:outlineLvl w:val="2"/>
        <w:rPr>
          <w:rFonts w:hint="eastAsia" w:ascii="宋体" w:hAnsi="宋体" w:cs="宋体"/>
          <w:b/>
          <w:sz w:val="24"/>
          <w:highlight w:val="none"/>
        </w:rPr>
      </w:pPr>
      <w:r>
        <w:rPr>
          <w:rFonts w:hint="eastAsia" w:ascii="宋体" w:hAnsi="宋体" w:cs="宋体"/>
          <w:b/>
          <w:sz w:val="24"/>
          <w:highlight w:val="none"/>
        </w:rPr>
        <w:t>5、招标文件的约束力</w:t>
      </w:r>
    </w:p>
    <w:p w14:paraId="4BFB0C31">
      <w:pPr>
        <w:spacing w:line="500" w:lineRule="exact"/>
        <w:ind w:firstLine="480"/>
        <w:rPr>
          <w:rFonts w:hint="eastAsia" w:ascii="宋体" w:hAnsi="宋体" w:cs="宋体"/>
          <w:sz w:val="24"/>
          <w:highlight w:val="none"/>
        </w:rPr>
      </w:pPr>
      <w:r>
        <w:rPr>
          <w:rFonts w:hint="eastAsia" w:ascii="宋体" w:hAnsi="宋体" w:cs="宋体"/>
          <w:sz w:val="24"/>
          <w:highlight w:val="none"/>
        </w:rPr>
        <w:t>投标人一旦参加本项目投标，即被认为接受了本招标文件的所有条件和规定。</w:t>
      </w:r>
    </w:p>
    <w:p w14:paraId="6B3F122C">
      <w:pPr>
        <w:spacing w:line="500" w:lineRule="exact"/>
        <w:ind w:firstLine="482"/>
        <w:outlineLvl w:val="2"/>
        <w:rPr>
          <w:rFonts w:hint="eastAsia" w:ascii="宋体" w:hAnsi="宋体" w:cs="宋体"/>
          <w:b/>
          <w:sz w:val="24"/>
          <w:highlight w:val="none"/>
        </w:rPr>
      </w:pPr>
      <w:r>
        <w:rPr>
          <w:rFonts w:hint="eastAsia" w:ascii="宋体" w:hAnsi="宋体" w:cs="宋体"/>
          <w:b/>
          <w:sz w:val="24"/>
          <w:highlight w:val="none"/>
        </w:rPr>
        <w:t>6、相同品牌产品投标</w:t>
      </w:r>
    </w:p>
    <w:p w14:paraId="135BB67D">
      <w:pPr>
        <w:spacing w:line="500" w:lineRule="exact"/>
        <w:ind w:firstLine="480"/>
        <w:rPr>
          <w:rFonts w:hint="eastAsia" w:ascii="宋体" w:hAnsi="宋体" w:cs="宋体"/>
          <w:sz w:val="24"/>
          <w:highlight w:val="none"/>
        </w:rPr>
      </w:pPr>
      <w:r>
        <w:rPr>
          <w:rFonts w:hint="eastAsia" w:ascii="宋体" w:hAnsi="宋体" w:cs="宋体"/>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A2D7B41">
      <w:pPr>
        <w:spacing w:line="500" w:lineRule="exact"/>
        <w:ind w:firstLine="480"/>
        <w:rPr>
          <w:rFonts w:hint="eastAsia" w:ascii="宋体" w:hAnsi="宋体" w:cs="宋体"/>
          <w:sz w:val="24"/>
          <w:highlight w:val="none"/>
        </w:rPr>
      </w:pPr>
      <w:r>
        <w:rPr>
          <w:rFonts w:hint="eastAsia" w:ascii="宋体" w:hAnsi="宋体" w:cs="宋体"/>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31AE41CC">
      <w:pPr>
        <w:spacing w:line="500" w:lineRule="exact"/>
        <w:ind w:firstLine="480"/>
        <w:rPr>
          <w:rFonts w:hint="eastAsia" w:ascii="宋体" w:hAnsi="宋体" w:cs="宋体"/>
          <w:sz w:val="24"/>
          <w:highlight w:val="none"/>
        </w:rPr>
      </w:pPr>
      <w:r>
        <w:rPr>
          <w:rFonts w:hint="eastAsia" w:ascii="宋体" w:hAnsi="宋体" w:cs="宋体"/>
          <w:sz w:val="24"/>
          <w:highlight w:val="none"/>
        </w:rPr>
        <w:t>6.3、非单一产品采购项目，采购人确定核心产品，并在招标文件中载明。多家投标人提供的核心产品品牌全部相同的，按前两款规定处理。</w:t>
      </w:r>
    </w:p>
    <w:p w14:paraId="245C46A8">
      <w:pPr>
        <w:pStyle w:val="624"/>
        <w:outlineLvl w:val="1"/>
        <w:rPr>
          <w:rFonts w:hint="eastAsia" w:ascii="宋体" w:hAnsi="宋体" w:eastAsia="宋体" w:cs="宋体"/>
          <w:highlight w:val="none"/>
        </w:rPr>
      </w:pPr>
      <w:bookmarkStart w:id="22" w:name="_Toc514054473"/>
      <w:bookmarkStart w:id="23" w:name="_Toc21335"/>
      <w:r>
        <w:rPr>
          <w:rFonts w:hint="eastAsia" w:ascii="宋体" w:hAnsi="宋体" w:eastAsia="宋体" w:cs="宋体"/>
          <w:highlight w:val="none"/>
        </w:rPr>
        <w:t>二、招标文件</w:t>
      </w:r>
      <w:bookmarkEnd w:id="22"/>
      <w:bookmarkEnd w:id="23"/>
    </w:p>
    <w:p w14:paraId="1AE73A56">
      <w:pPr>
        <w:spacing w:line="500" w:lineRule="exact"/>
        <w:ind w:firstLine="482"/>
        <w:rPr>
          <w:rFonts w:hint="eastAsia" w:ascii="宋体" w:hAnsi="宋体" w:cs="宋体"/>
          <w:b/>
          <w:sz w:val="24"/>
          <w:highlight w:val="none"/>
        </w:rPr>
      </w:pPr>
      <w:r>
        <w:rPr>
          <w:rFonts w:hint="eastAsia" w:ascii="宋体" w:hAnsi="宋体" w:cs="宋体"/>
          <w:b/>
          <w:sz w:val="24"/>
          <w:highlight w:val="none"/>
        </w:rPr>
        <w:t>7、招标文件构成</w:t>
      </w:r>
    </w:p>
    <w:p w14:paraId="0A4CEA48">
      <w:pPr>
        <w:spacing w:line="500" w:lineRule="exact"/>
        <w:ind w:firstLine="480"/>
        <w:rPr>
          <w:rFonts w:hint="eastAsia" w:ascii="宋体" w:hAnsi="宋体" w:cs="宋体"/>
          <w:sz w:val="24"/>
          <w:highlight w:val="none"/>
        </w:rPr>
      </w:pPr>
      <w:r>
        <w:rPr>
          <w:rFonts w:hint="eastAsia" w:ascii="宋体" w:hAnsi="宋体" w:cs="宋体"/>
          <w:sz w:val="24"/>
          <w:highlight w:val="none"/>
        </w:rPr>
        <w:t>第一部分：招标公告；</w:t>
      </w:r>
    </w:p>
    <w:p w14:paraId="57AC635B">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第二部分：投标人须知； </w:t>
      </w:r>
    </w:p>
    <w:p w14:paraId="702AF079">
      <w:pPr>
        <w:spacing w:line="500" w:lineRule="exact"/>
        <w:ind w:firstLine="480"/>
        <w:rPr>
          <w:rFonts w:hint="eastAsia" w:ascii="宋体" w:hAnsi="宋体" w:cs="宋体"/>
          <w:sz w:val="24"/>
          <w:highlight w:val="none"/>
        </w:rPr>
      </w:pPr>
      <w:r>
        <w:rPr>
          <w:rFonts w:hint="eastAsia" w:ascii="宋体" w:hAnsi="宋体" w:cs="宋体"/>
          <w:sz w:val="24"/>
          <w:highlight w:val="none"/>
        </w:rPr>
        <w:t>第三部分：评标方法和标准；</w:t>
      </w:r>
    </w:p>
    <w:p w14:paraId="10B62303">
      <w:pPr>
        <w:spacing w:line="500" w:lineRule="exact"/>
        <w:ind w:firstLine="480"/>
        <w:rPr>
          <w:rFonts w:hint="eastAsia" w:ascii="宋体" w:hAnsi="宋体" w:cs="宋体"/>
          <w:sz w:val="24"/>
          <w:highlight w:val="none"/>
        </w:rPr>
      </w:pPr>
      <w:r>
        <w:rPr>
          <w:rFonts w:hint="eastAsia" w:ascii="宋体" w:hAnsi="宋体" w:cs="宋体"/>
          <w:sz w:val="24"/>
          <w:highlight w:val="none"/>
        </w:rPr>
        <w:t>第四部分：采购需求；</w:t>
      </w:r>
    </w:p>
    <w:p w14:paraId="0F497AD2">
      <w:pPr>
        <w:spacing w:line="500" w:lineRule="exact"/>
        <w:ind w:firstLine="480"/>
        <w:rPr>
          <w:rFonts w:hint="eastAsia" w:ascii="宋体" w:hAnsi="宋体" w:cs="宋体"/>
          <w:sz w:val="24"/>
          <w:highlight w:val="none"/>
        </w:rPr>
      </w:pPr>
      <w:r>
        <w:rPr>
          <w:rFonts w:hint="eastAsia" w:ascii="宋体" w:hAnsi="宋体" w:cs="宋体"/>
          <w:sz w:val="24"/>
          <w:highlight w:val="none"/>
        </w:rPr>
        <w:t>第五部分：合同格式及条款；</w:t>
      </w:r>
    </w:p>
    <w:p w14:paraId="3FC87591">
      <w:pPr>
        <w:spacing w:line="500" w:lineRule="exact"/>
        <w:ind w:firstLine="480"/>
        <w:rPr>
          <w:rFonts w:hint="eastAsia" w:ascii="宋体" w:hAnsi="宋体" w:cs="宋体"/>
          <w:sz w:val="24"/>
          <w:highlight w:val="none"/>
        </w:rPr>
      </w:pPr>
      <w:r>
        <w:rPr>
          <w:rFonts w:hint="eastAsia" w:ascii="宋体" w:hAnsi="宋体" w:cs="宋体"/>
          <w:sz w:val="24"/>
          <w:highlight w:val="none"/>
        </w:rPr>
        <w:t>第六部分：投标文件格式。</w:t>
      </w:r>
    </w:p>
    <w:p w14:paraId="5C60E6F4">
      <w:pPr>
        <w:spacing w:line="500" w:lineRule="exact"/>
        <w:ind w:firstLine="482"/>
        <w:rPr>
          <w:rFonts w:hint="eastAsia" w:ascii="宋体" w:hAnsi="宋体" w:cs="宋体"/>
          <w:b/>
          <w:sz w:val="24"/>
          <w:highlight w:val="none"/>
        </w:rPr>
      </w:pPr>
      <w:r>
        <w:rPr>
          <w:rFonts w:hint="eastAsia" w:ascii="宋体" w:hAnsi="宋体" w:cs="宋体"/>
          <w:b/>
          <w:sz w:val="24"/>
          <w:highlight w:val="none"/>
        </w:rPr>
        <w:t>8、招标文件的澄清</w:t>
      </w:r>
    </w:p>
    <w:p w14:paraId="46B1E632">
      <w:pPr>
        <w:spacing w:line="500" w:lineRule="exact"/>
        <w:ind w:firstLine="480"/>
        <w:rPr>
          <w:rFonts w:hint="eastAsia" w:ascii="宋体" w:hAnsi="宋体" w:cs="宋体"/>
          <w:sz w:val="24"/>
          <w:highlight w:val="none"/>
        </w:rPr>
      </w:pPr>
      <w:r>
        <w:rPr>
          <w:rFonts w:hint="eastAsia" w:ascii="宋体" w:hAnsi="宋体" w:cs="宋体"/>
          <w:sz w:val="24"/>
          <w:highlight w:val="none"/>
        </w:rPr>
        <w:t>任何要求对招标文件澄清的投标人，均应在法律法规规定的时间内提出，采购代理机构对规定时间内收到的澄清要求予以答复，答复不包括问题的来源。</w:t>
      </w:r>
    </w:p>
    <w:p w14:paraId="3CC60D5E">
      <w:pPr>
        <w:spacing w:line="500" w:lineRule="exact"/>
        <w:ind w:firstLine="482"/>
        <w:rPr>
          <w:rFonts w:hint="eastAsia" w:ascii="宋体" w:hAnsi="宋体" w:cs="宋体"/>
          <w:b/>
          <w:sz w:val="24"/>
          <w:highlight w:val="none"/>
        </w:rPr>
      </w:pPr>
      <w:r>
        <w:rPr>
          <w:rFonts w:hint="eastAsia" w:ascii="宋体" w:hAnsi="宋体" w:cs="宋体"/>
          <w:b/>
          <w:sz w:val="24"/>
          <w:highlight w:val="none"/>
        </w:rPr>
        <w:t>9、招标文件的修改</w:t>
      </w:r>
    </w:p>
    <w:p w14:paraId="241F1190">
      <w:pPr>
        <w:spacing w:line="500" w:lineRule="exact"/>
        <w:ind w:firstLine="480"/>
        <w:rPr>
          <w:rFonts w:hint="eastAsia" w:ascii="宋体" w:hAnsi="宋体" w:cs="宋体"/>
          <w:sz w:val="24"/>
          <w:highlight w:val="none"/>
        </w:rPr>
      </w:pPr>
      <w:r>
        <w:rPr>
          <w:rFonts w:hint="eastAsia" w:ascii="宋体" w:hAnsi="宋体" w:cs="宋体"/>
          <w:sz w:val="24"/>
          <w:highlight w:val="none"/>
        </w:rPr>
        <w:t>9.1在投标文件接收截止日期15日前，采购代理机构可以更正公告或补充文件的形式对招标文件进行修改。</w:t>
      </w:r>
    </w:p>
    <w:p w14:paraId="70D132DB">
      <w:pPr>
        <w:spacing w:line="500" w:lineRule="exact"/>
        <w:ind w:firstLine="480"/>
        <w:rPr>
          <w:rFonts w:hint="eastAsia" w:ascii="宋体" w:hAnsi="宋体" w:cs="宋体"/>
          <w:sz w:val="24"/>
          <w:highlight w:val="none"/>
        </w:rPr>
      </w:pPr>
      <w:r>
        <w:rPr>
          <w:rFonts w:hint="eastAsia" w:ascii="宋体" w:hAnsi="宋体" w:cs="宋体"/>
          <w:sz w:val="24"/>
          <w:highlight w:val="none"/>
        </w:rPr>
        <w:t>9.2</w:t>
      </w:r>
      <w:r>
        <w:rPr>
          <w:rFonts w:hint="eastAsia" w:ascii="宋体" w:hAnsi="宋体"/>
          <w:sz w:val="24"/>
          <w:highlight w:val="none"/>
        </w:rPr>
        <w:t>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highlight w:val="none"/>
        </w:rPr>
        <w:t xml:space="preserve"> </w:t>
      </w:r>
    </w:p>
    <w:p w14:paraId="4FF0A62E">
      <w:pPr>
        <w:spacing w:line="500" w:lineRule="exact"/>
        <w:ind w:firstLine="480"/>
        <w:rPr>
          <w:rFonts w:hint="eastAsia" w:ascii="宋体" w:hAnsi="宋体" w:cs="宋体"/>
          <w:sz w:val="24"/>
          <w:highlight w:val="none"/>
        </w:rPr>
      </w:pPr>
      <w:r>
        <w:rPr>
          <w:rFonts w:hint="eastAsia" w:ascii="宋体" w:hAnsi="宋体" w:cs="宋体"/>
          <w:sz w:val="24"/>
          <w:highlight w:val="none"/>
        </w:rPr>
        <w:t>9.3为使投标人有充分的时间对招标文件的修改部分进行分析、研究，采购代理机构有权推迟投标文件接收截止日期和开标日期，并将此变更通知所有已获取招标文件的投标人。</w:t>
      </w:r>
    </w:p>
    <w:p w14:paraId="359A15C4">
      <w:pPr>
        <w:spacing w:line="500" w:lineRule="exact"/>
        <w:ind w:firstLine="480"/>
        <w:rPr>
          <w:rFonts w:hint="eastAsia" w:ascii="宋体" w:hAnsi="宋体" w:cs="宋体"/>
          <w:highlight w:val="none"/>
        </w:rPr>
      </w:pPr>
      <w:r>
        <w:rPr>
          <w:rFonts w:hint="eastAsia" w:ascii="宋体" w:hAnsi="宋体" w:cs="宋体"/>
          <w:sz w:val="24"/>
          <w:highlight w:val="none"/>
        </w:rPr>
        <w:t xml:space="preserve">9.4采购代理机构发出的所有补充、修改和变更文件均作为招标文件的组成部分，与招标文件具有同等法律效力。 </w:t>
      </w:r>
      <w:bookmarkStart w:id="24" w:name="EB453bde7f4ddc418fae2aad9fbcd82554"/>
      <w:r>
        <w:rPr>
          <w:rFonts w:hint="eastAsia" w:ascii="宋体" w:hAnsi="宋体" w:cs="宋体"/>
          <w:sz w:val="20"/>
          <w:highlight w:val="none"/>
        </w:rPr>
        <w:t xml:space="preserve"> </w:t>
      </w:r>
      <w:bookmarkEnd w:id="24"/>
      <w:bookmarkStart w:id="25" w:name="EBec71fc1696a240c4b620fe1e00b2ce58"/>
      <w:r>
        <w:rPr>
          <w:rFonts w:hint="eastAsia" w:ascii="宋体" w:hAnsi="宋体" w:cs="宋体"/>
          <w:sz w:val="20"/>
          <w:highlight w:val="none"/>
        </w:rPr>
        <w:t xml:space="preserve"> </w:t>
      </w:r>
      <w:bookmarkEnd w:id="25"/>
    </w:p>
    <w:p w14:paraId="5774C367">
      <w:pPr>
        <w:pStyle w:val="624"/>
        <w:outlineLvl w:val="1"/>
        <w:rPr>
          <w:rFonts w:hint="eastAsia" w:ascii="宋体" w:hAnsi="宋体" w:eastAsia="宋体" w:cs="宋体"/>
          <w:highlight w:val="none"/>
        </w:rPr>
      </w:pPr>
      <w:bookmarkStart w:id="26" w:name="_Toc26908"/>
      <w:bookmarkStart w:id="27" w:name="_Toc514054474"/>
      <w:r>
        <w:rPr>
          <w:rFonts w:hint="eastAsia" w:ascii="宋体" w:hAnsi="宋体" w:eastAsia="宋体" w:cs="宋体"/>
          <w:highlight w:val="none"/>
        </w:rPr>
        <w:t>三、投标文件的编制</w:t>
      </w:r>
      <w:bookmarkEnd w:id="26"/>
      <w:bookmarkEnd w:id="27"/>
    </w:p>
    <w:p w14:paraId="1124F86B">
      <w:pPr>
        <w:spacing w:line="500" w:lineRule="exact"/>
        <w:ind w:firstLine="482"/>
        <w:rPr>
          <w:rFonts w:hint="eastAsia" w:ascii="宋体" w:hAnsi="宋体" w:cs="宋体"/>
          <w:b/>
          <w:sz w:val="24"/>
          <w:highlight w:val="none"/>
        </w:rPr>
      </w:pPr>
      <w:r>
        <w:rPr>
          <w:rFonts w:hint="eastAsia" w:ascii="宋体" w:hAnsi="宋体" w:cs="宋体"/>
          <w:b/>
          <w:sz w:val="24"/>
          <w:highlight w:val="none"/>
        </w:rPr>
        <w:t>10、投标文件的编制要求</w:t>
      </w:r>
    </w:p>
    <w:p w14:paraId="25C4D8EE">
      <w:pPr>
        <w:spacing w:line="500" w:lineRule="exact"/>
        <w:ind w:firstLine="480"/>
        <w:rPr>
          <w:rFonts w:hint="eastAsia" w:ascii="宋体" w:hAnsi="宋体" w:cs="宋体"/>
          <w:sz w:val="24"/>
          <w:highlight w:val="none"/>
        </w:rPr>
      </w:pPr>
      <w:r>
        <w:rPr>
          <w:rFonts w:hint="eastAsia" w:ascii="宋体" w:hAnsi="宋体" w:cs="宋体"/>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4BCAED30">
      <w:pPr>
        <w:spacing w:line="500" w:lineRule="exact"/>
        <w:ind w:firstLine="480"/>
        <w:rPr>
          <w:rFonts w:hint="eastAsia" w:ascii="宋体" w:hAnsi="宋体" w:cs="宋体"/>
          <w:sz w:val="24"/>
          <w:highlight w:val="none"/>
        </w:rPr>
      </w:pPr>
      <w:r>
        <w:rPr>
          <w:rFonts w:hint="eastAsia" w:ascii="宋体" w:hAnsi="宋体" w:cs="宋体"/>
          <w:sz w:val="24"/>
          <w:highlight w:val="none"/>
        </w:rPr>
        <w:t>10.2投标文件应当对招标文件有关交货期、投标有效期、质量要求、技术标准和要求、招标范围、付款方式等实质性内容作出响应。</w:t>
      </w:r>
    </w:p>
    <w:p w14:paraId="708ABC55">
      <w:pPr>
        <w:spacing w:line="500" w:lineRule="exact"/>
        <w:ind w:firstLine="482"/>
        <w:rPr>
          <w:rFonts w:hint="eastAsia" w:ascii="宋体" w:hAnsi="宋体" w:cs="宋体"/>
          <w:b/>
          <w:sz w:val="24"/>
          <w:highlight w:val="none"/>
        </w:rPr>
      </w:pPr>
      <w:r>
        <w:rPr>
          <w:rFonts w:hint="eastAsia" w:ascii="宋体" w:hAnsi="宋体" w:cs="宋体"/>
          <w:b/>
          <w:sz w:val="24"/>
          <w:highlight w:val="none"/>
        </w:rPr>
        <w:t>11、投标文件构成</w:t>
      </w:r>
    </w:p>
    <w:p w14:paraId="17132B9D">
      <w:pPr>
        <w:spacing w:line="500" w:lineRule="exact"/>
        <w:ind w:firstLine="480"/>
        <w:rPr>
          <w:rFonts w:hint="eastAsia" w:ascii="宋体" w:hAnsi="宋体" w:cs="宋体"/>
          <w:sz w:val="24"/>
          <w:highlight w:val="none"/>
        </w:rPr>
      </w:pPr>
      <w:r>
        <w:rPr>
          <w:rFonts w:hint="eastAsia" w:ascii="宋体" w:hAnsi="宋体" w:cs="宋体"/>
          <w:sz w:val="24"/>
          <w:highlight w:val="none"/>
        </w:rPr>
        <w:t>11.1资格证明文件；</w:t>
      </w:r>
    </w:p>
    <w:p w14:paraId="3BB5DBA7">
      <w:pPr>
        <w:spacing w:line="500" w:lineRule="exact"/>
        <w:ind w:firstLine="480"/>
        <w:rPr>
          <w:rFonts w:hint="eastAsia" w:ascii="宋体" w:hAnsi="宋体" w:cs="宋体"/>
          <w:sz w:val="24"/>
          <w:highlight w:val="none"/>
        </w:rPr>
      </w:pPr>
      <w:r>
        <w:rPr>
          <w:rFonts w:hint="eastAsia" w:ascii="宋体" w:hAnsi="宋体" w:cs="宋体"/>
          <w:sz w:val="24"/>
          <w:highlight w:val="none"/>
        </w:rPr>
        <w:t>11.1.1具有独立承担民事责任的能力（</w:t>
      </w:r>
      <w:r>
        <w:rPr>
          <w:rFonts w:hint="eastAsia" w:ascii="宋体" w:hAnsi="宋体" w:cs="宋体"/>
          <w:sz w:val="24"/>
          <w:szCs w:val="24"/>
          <w:highlight w:val="none"/>
        </w:rPr>
        <w:t>提供法人或者其他组织的营业执照等证明文件；供应商为自然人的，提供其身份证</w:t>
      </w:r>
      <w:r>
        <w:rPr>
          <w:rFonts w:hint="eastAsia" w:ascii="宋体" w:hAnsi="宋体" w:cs="宋体"/>
          <w:sz w:val="24"/>
          <w:highlight w:val="none"/>
        </w:rPr>
        <w:t>）；</w:t>
      </w:r>
    </w:p>
    <w:p w14:paraId="408E24E0">
      <w:pPr>
        <w:spacing w:line="500" w:lineRule="exact"/>
        <w:ind w:firstLine="480"/>
        <w:rPr>
          <w:rFonts w:hint="eastAsia" w:ascii="宋体" w:hAnsi="宋体" w:cs="宋体"/>
          <w:sz w:val="24"/>
          <w:highlight w:val="none"/>
        </w:rPr>
      </w:pPr>
      <w:r>
        <w:rPr>
          <w:rFonts w:hint="eastAsia" w:ascii="宋体" w:hAnsi="宋体" w:cs="宋体"/>
          <w:sz w:val="24"/>
          <w:highlight w:val="none"/>
        </w:rPr>
        <w:t>11.1.2具有良好的商业信誉和健全的财务会计制度（提供2024年度</w:t>
      </w:r>
      <w:r>
        <w:rPr>
          <w:rFonts w:hint="eastAsia" w:ascii="宋体" w:hAnsi="宋体" w:cs="宋体"/>
          <w:sz w:val="24"/>
          <w:highlight w:val="none"/>
          <w:lang w:val="en-US" w:eastAsia="zh-CN"/>
        </w:rPr>
        <w:t>或2025年度</w:t>
      </w:r>
      <w:r>
        <w:rPr>
          <w:rFonts w:hint="eastAsia" w:ascii="宋体" w:hAnsi="宋体" w:cs="宋体"/>
          <w:sz w:val="24"/>
          <w:highlight w:val="none"/>
        </w:rPr>
        <w:t>财务报告，至少包含资产负债表、利润表，或投标截止时间前六个月内银行出具的资信证明，成立不满一年的无须提供）；</w:t>
      </w:r>
    </w:p>
    <w:p w14:paraId="1B919E1C">
      <w:pPr>
        <w:spacing w:line="500" w:lineRule="exact"/>
        <w:ind w:firstLine="480"/>
        <w:rPr>
          <w:rFonts w:hint="eastAsia" w:ascii="宋体" w:hAnsi="宋体" w:cs="宋体"/>
          <w:sz w:val="24"/>
          <w:highlight w:val="none"/>
        </w:rPr>
      </w:pPr>
      <w:r>
        <w:rPr>
          <w:rFonts w:hint="eastAsia" w:ascii="宋体" w:hAnsi="宋体" w:cs="宋体"/>
          <w:sz w:val="24"/>
          <w:highlight w:val="none"/>
        </w:rPr>
        <w:t>11.1.3具有履行合同所必需的设备和专业技术能力（供应商根据履行采购项目合同需要，提供履行合同所必需的设备和专业技术能力的声明函或证明材料）；</w:t>
      </w:r>
    </w:p>
    <w:p w14:paraId="5D60BB23">
      <w:pPr>
        <w:spacing w:line="329" w:lineRule="auto"/>
        <w:ind w:firstLine="480"/>
        <w:rPr>
          <w:rFonts w:hint="eastAsia" w:ascii="宋体" w:hAnsi="宋体" w:cs="宋体"/>
          <w:sz w:val="24"/>
          <w:highlight w:val="none"/>
        </w:rPr>
      </w:pPr>
      <w:r>
        <w:rPr>
          <w:rFonts w:hint="eastAsia" w:ascii="宋体" w:hAnsi="宋体" w:cs="宋体"/>
          <w:sz w:val="24"/>
          <w:highlight w:val="none"/>
        </w:rPr>
        <w:t>11.1.4有依法缴纳税收和社会保障资金的良好记录</w:t>
      </w:r>
      <w:r>
        <w:rPr>
          <w:rFonts w:hint="eastAsia" w:ascii="宋体" w:hAnsi="宋体" w:cs="宋体"/>
          <w:sz w:val="24"/>
          <w:szCs w:val="24"/>
          <w:highlight w:val="none"/>
        </w:rPr>
        <w:t>（提供2025年</w:t>
      </w:r>
      <w:r>
        <w:rPr>
          <w:rFonts w:hint="eastAsia" w:ascii="宋体" w:hAnsi="宋体" w:cs="宋体"/>
          <w:sz w:val="24"/>
          <w:szCs w:val="24"/>
          <w:highlight w:val="none"/>
          <w:lang w:val="en-US" w:eastAsia="zh-CN"/>
        </w:rPr>
        <w:t>9</w:t>
      </w:r>
      <w:r>
        <w:rPr>
          <w:rFonts w:hint="eastAsia" w:ascii="宋体" w:hAnsi="宋体" w:cs="宋体"/>
          <w:sz w:val="24"/>
          <w:szCs w:val="24"/>
          <w:highlight w:val="none"/>
        </w:rPr>
        <w:t>月至今）</w:t>
      </w:r>
      <w:r>
        <w:rPr>
          <w:rFonts w:hint="eastAsia" w:ascii="宋体" w:hAnsi="宋体" w:cs="宋体"/>
          <w:sz w:val="24"/>
          <w:highlight w:val="none"/>
        </w:rPr>
        <w:t>中任一月份的依法缴纳税收和社会保险费的相关材料（提供相关主管部门证明或银行代扣证明的复印件，根据国家相关政策免缴或迟缴的需提供相关证明材料）；</w:t>
      </w:r>
    </w:p>
    <w:p w14:paraId="512939F4">
      <w:pPr>
        <w:spacing w:line="500" w:lineRule="exact"/>
        <w:ind w:firstLine="480"/>
        <w:rPr>
          <w:rFonts w:hint="eastAsia" w:ascii="宋体" w:hAnsi="宋体" w:cs="宋体"/>
          <w:sz w:val="24"/>
          <w:highlight w:val="none"/>
        </w:rPr>
      </w:pPr>
      <w:r>
        <w:rPr>
          <w:rFonts w:hint="eastAsia" w:ascii="宋体" w:hAnsi="宋体" w:cs="宋体"/>
          <w:sz w:val="24"/>
          <w:highlight w:val="none"/>
        </w:rPr>
        <w:t>11.1.5参加政府采购活动前三年内，在经营活动中没有重大违法记录（提供承诺书）；</w:t>
      </w:r>
    </w:p>
    <w:p w14:paraId="28407FF6">
      <w:pPr>
        <w:spacing w:line="500" w:lineRule="exact"/>
        <w:ind w:firstLine="480"/>
        <w:rPr>
          <w:rFonts w:hint="eastAsia" w:ascii="宋体" w:hAnsi="宋体" w:cs="宋体"/>
          <w:sz w:val="24"/>
          <w:highlight w:val="none"/>
        </w:rPr>
      </w:pPr>
      <w:r>
        <w:rPr>
          <w:rFonts w:hint="eastAsia" w:ascii="宋体" w:hAnsi="宋体" w:cs="宋体"/>
          <w:sz w:val="24"/>
          <w:highlight w:val="none"/>
        </w:rPr>
        <w:t>11.1.6法律、行政法规规定的其他条件。</w:t>
      </w:r>
    </w:p>
    <w:p w14:paraId="76269D23">
      <w:pPr>
        <w:spacing w:line="500" w:lineRule="exact"/>
        <w:ind w:firstLine="480"/>
        <w:rPr>
          <w:rFonts w:hint="eastAsia" w:ascii="宋体" w:hAnsi="宋体" w:cs="宋体"/>
          <w:sz w:val="24"/>
          <w:highlight w:val="none"/>
        </w:rPr>
      </w:pPr>
      <w:r>
        <w:rPr>
          <w:rFonts w:hint="eastAsia" w:ascii="宋体" w:hAnsi="宋体" w:cs="宋体"/>
          <w:sz w:val="24"/>
          <w:highlight w:val="none"/>
        </w:rPr>
        <w:t>11.1.7</w:t>
      </w:r>
      <w:r>
        <w:rPr>
          <w:rFonts w:hint="eastAsia"/>
          <w:highlight w:val="none"/>
        </w:rPr>
        <w:t xml:space="preserve"> </w:t>
      </w:r>
      <w:r>
        <w:rPr>
          <w:rFonts w:hint="eastAsia" w:ascii="宋体" w:hAnsi="宋体" w:cs="宋体"/>
          <w:sz w:val="24"/>
          <w:highlight w:val="none"/>
        </w:rPr>
        <w:t>拒绝被“信用中国”（www.creditchina.gov.cn）、“中国政府采购网”(www.ccgp.gov.cn）列入失信被执行人、重大税收违法案件当事人、政府采购严重失信行为的供应商参加投标。</w:t>
      </w:r>
    </w:p>
    <w:p w14:paraId="33BFFAB9">
      <w:pPr>
        <w:spacing w:line="50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11.2投标函；</w:t>
      </w:r>
    </w:p>
    <w:p w14:paraId="049B788A">
      <w:pPr>
        <w:spacing w:line="50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11.3法定代表人身份证明或法定代表人授权委托</w:t>
      </w:r>
      <w:bookmarkStart w:id="28" w:name="EB1a77376dbd044d229c365f6951816069"/>
      <w:r>
        <w:rPr>
          <w:rFonts w:hint="eastAsia" w:ascii="宋体" w:hAnsi="宋体" w:cs="宋体"/>
          <w:bCs/>
          <w:sz w:val="24"/>
          <w:szCs w:val="24"/>
          <w:highlight w:val="none"/>
        </w:rPr>
        <w:t>书（并按要求提供法定代表人或授权委托人居民身份证复印件加盖公章；如为授权委托人参加投标的，须提供开标前6个月内任意一个月投标人单位为授权委托人缴纳的社保证明材料）；</w:t>
      </w:r>
      <w:bookmarkEnd w:id="28"/>
    </w:p>
    <w:p w14:paraId="764740A8">
      <w:pPr>
        <w:spacing w:line="500" w:lineRule="exact"/>
        <w:ind w:firstLine="480"/>
        <w:rPr>
          <w:rFonts w:hint="eastAsia" w:ascii="宋体" w:hAnsi="宋体" w:cs="宋体"/>
          <w:sz w:val="24"/>
          <w:highlight w:val="none"/>
        </w:rPr>
      </w:pPr>
      <w:r>
        <w:rPr>
          <w:rFonts w:hint="eastAsia" w:ascii="宋体" w:hAnsi="宋体" w:cs="宋体"/>
          <w:sz w:val="24"/>
          <w:highlight w:val="none"/>
        </w:rPr>
        <w:t>11.4报价文件</w:t>
      </w:r>
    </w:p>
    <w:p w14:paraId="2DAF834D">
      <w:pPr>
        <w:spacing w:line="500" w:lineRule="exact"/>
        <w:ind w:firstLine="480"/>
        <w:rPr>
          <w:rFonts w:hint="eastAsia" w:ascii="宋体" w:hAnsi="宋体" w:cs="宋体"/>
          <w:sz w:val="24"/>
          <w:highlight w:val="none"/>
        </w:rPr>
      </w:pPr>
      <w:r>
        <w:rPr>
          <w:rFonts w:hint="eastAsia" w:ascii="宋体" w:hAnsi="宋体" w:cs="宋体"/>
          <w:sz w:val="24"/>
          <w:highlight w:val="none"/>
        </w:rPr>
        <w:t>11.4.1开标一览表；</w:t>
      </w:r>
    </w:p>
    <w:p w14:paraId="7A2B5D20">
      <w:pPr>
        <w:spacing w:line="500" w:lineRule="exact"/>
        <w:ind w:firstLine="480"/>
        <w:rPr>
          <w:rFonts w:hint="eastAsia" w:ascii="宋体" w:hAnsi="宋体" w:cs="宋体"/>
          <w:sz w:val="24"/>
          <w:highlight w:val="none"/>
        </w:rPr>
      </w:pPr>
      <w:r>
        <w:rPr>
          <w:rFonts w:hint="eastAsia" w:ascii="宋体" w:hAnsi="宋体" w:cs="宋体"/>
          <w:sz w:val="24"/>
          <w:highlight w:val="none"/>
        </w:rPr>
        <w:t>11.4.2明细报价表。</w:t>
      </w:r>
    </w:p>
    <w:p w14:paraId="04ABAE0B">
      <w:pPr>
        <w:spacing w:line="500" w:lineRule="exact"/>
        <w:ind w:firstLine="480"/>
        <w:rPr>
          <w:rFonts w:hint="eastAsia" w:ascii="宋体" w:hAnsi="宋体" w:cs="宋体"/>
          <w:sz w:val="24"/>
          <w:highlight w:val="none"/>
        </w:rPr>
      </w:pPr>
      <w:r>
        <w:rPr>
          <w:rFonts w:hint="eastAsia" w:ascii="宋体" w:hAnsi="宋体" w:cs="宋体"/>
          <w:sz w:val="24"/>
          <w:highlight w:val="none"/>
        </w:rPr>
        <w:t>11.5技术文件</w:t>
      </w:r>
    </w:p>
    <w:p w14:paraId="3395DDD4">
      <w:pPr>
        <w:spacing w:line="500" w:lineRule="exact"/>
        <w:ind w:firstLine="480"/>
        <w:rPr>
          <w:rFonts w:hint="eastAsia" w:ascii="宋体" w:hAnsi="宋体" w:cs="宋体"/>
          <w:sz w:val="24"/>
          <w:highlight w:val="none"/>
        </w:rPr>
      </w:pPr>
      <w:bookmarkStart w:id="29" w:name="EB7f6b24a996964930b08d6b290b36e3fd"/>
      <w:r>
        <w:rPr>
          <w:rFonts w:hint="eastAsia" w:ascii="宋体" w:hAnsi="宋体" w:cs="宋体"/>
          <w:sz w:val="24"/>
          <w:highlight w:val="none"/>
        </w:rPr>
        <w:t>11.5.1技术响应偏差表</w:t>
      </w:r>
      <w:bookmarkEnd w:id="29"/>
      <w:r>
        <w:rPr>
          <w:rFonts w:hint="eastAsia" w:ascii="宋体" w:hAnsi="宋体" w:cs="宋体"/>
          <w:sz w:val="24"/>
          <w:highlight w:val="none"/>
        </w:rPr>
        <w:t>,商务</w:t>
      </w:r>
      <w:r>
        <w:rPr>
          <w:rFonts w:ascii="宋体" w:hAnsi="宋体" w:cs="宋体"/>
          <w:sz w:val="24"/>
          <w:highlight w:val="none"/>
        </w:rPr>
        <w:t>响应偏差表。</w:t>
      </w:r>
    </w:p>
    <w:p w14:paraId="7A298E14">
      <w:pPr>
        <w:spacing w:line="500" w:lineRule="exact"/>
        <w:ind w:firstLine="480"/>
        <w:rPr>
          <w:rFonts w:hint="eastAsia" w:ascii="宋体" w:hAnsi="宋体"/>
          <w:bCs/>
          <w:sz w:val="24"/>
          <w:szCs w:val="24"/>
          <w:highlight w:val="none"/>
        </w:rPr>
      </w:pPr>
      <w:r>
        <w:rPr>
          <w:rFonts w:hint="eastAsia" w:ascii="宋体" w:hAnsi="宋体" w:cs="宋体"/>
          <w:sz w:val="24"/>
          <w:highlight w:val="none"/>
        </w:rPr>
        <w:t>11.5.2</w:t>
      </w:r>
      <w:r>
        <w:rPr>
          <w:rFonts w:hint="eastAsia" w:ascii="宋体" w:hAnsi="宋体"/>
          <w:bCs/>
          <w:sz w:val="24"/>
          <w:szCs w:val="24"/>
          <w:highlight w:val="none"/>
        </w:rPr>
        <w:t>其他技术文件（根据评分点自行提供）</w:t>
      </w:r>
    </w:p>
    <w:p w14:paraId="7AAD5F8F">
      <w:pPr>
        <w:spacing w:line="500" w:lineRule="exact"/>
        <w:ind w:firstLine="480"/>
        <w:rPr>
          <w:rFonts w:hint="eastAsia" w:ascii="宋体" w:hAnsi="宋体" w:cs="宋体"/>
          <w:sz w:val="24"/>
          <w:highlight w:val="none"/>
        </w:rPr>
      </w:pPr>
      <w:r>
        <w:rPr>
          <w:rFonts w:hint="eastAsia" w:ascii="宋体" w:hAnsi="宋体" w:cs="宋体"/>
          <w:sz w:val="24"/>
          <w:highlight w:val="none"/>
        </w:rPr>
        <w:t>11.6商务文件</w:t>
      </w:r>
    </w:p>
    <w:p w14:paraId="5641850A">
      <w:pPr>
        <w:spacing w:line="500" w:lineRule="exact"/>
        <w:ind w:firstLine="480"/>
        <w:rPr>
          <w:rFonts w:hint="eastAsia" w:ascii="宋体" w:hAnsi="宋体" w:cs="宋体"/>
          <w:sz w:val="24"/>
          <w:highlight w:val="none"/>
        </w:rPr>
      </w:pPr>
      <w:bookmarkStart w:id="30" w:name="EBdc2c24f6358343e896cd43bd6621a619"/>
      <w:r>
        <w:rPr>
          <w:rFonts w:hint="eastAsia" w:ascii="宋体" w:hAnsi="宋体" w:cs="宋体"/>
          <w:sz w:val="24"/>
          <w:highlight w:val="none"/>
        </w:rPr>
        <w:t>11.6.1投标人承担的业绩一览表，提供合同相关资料；</w:t>
      </w:r>
    </w:p>
    <w:p w14:paraId="71F8BC1A">
      <w:pPr>
        <w:spacing w:line="500" w:lineRule="exact"/>
        <w:ind w:firstLine="480"/>
        <w:rPr>
          <w:rFonts w:hint="eastAsia" w:ascii="宋体" w:hAnsi="宋体" w:cs="宋体"/>
          <w:sz w:val="24"/>
          <w:highlight w:val="none"/>
        </w:rPr>
      </w:pPr>
      <w:r>
        <w:rPr>
          <w:rFonts w:hint="eastAsia" w:ascii="宋体" w:hAnsi="宋体" w:cs="宋体"/>
          <w:sz w:val="24"/>
          <w:highlight w:val="none"/>
        </w:rPr>
        <w:t>11.6.2其他商务文件。</w:t>
      </w:r>
      <w:bookmarkEnd w:id="30"/>
    </w:p>
    <w:p w14:paraId="794738FC">
      <w:pPr>
        <w:numPr>
          <w:ilvl w:val="0"/>
          <w:numId w:val="7"/>
        </w:numPr>
        <w:spacing w:line="500" w:lineRule="exact"/>
        <w:ind w:firstLine="482"/>
        <w:rPr>
          <w:rFonts w:hint="eastAsia" w:ascii="宋体" w:hAnsi="宋体" w:cs="宋体"/>
          <w:b/>
          <w:sz w:val="24"/>
          <w:highlight w:val="none"/>
        </w:rPr>
      </w:pPr>
      <w:r>
        <w:rPr>
          <w:rFonts w:hint="eastAsia" w:ascii="宋体" w:hAnsi="宋体" w:cs="宋体"/>
          <w:b/>
          <w:sz w:val="24"/>
          <w:highlight w:val="none"/>
        </w:rPr>
        <w:t>投标文件构成资料为非中文时应提供中文译版，并以中文为准，否则可视为未提供；</w:t>
      </w:r>
    </w:p>
    <w:p w14:paraId="4EC75441">
      <w:pPr>
        <w:spacing w:line="500" w:lineRule="exact"/>
        <w:ind w:firstLine="482"/>
        <w:rPr>
          <w:rFonts w:hint="eastAsia" w:ascii="宋体" w:hAnsi="宋体" w:cs="宋体"/>
          <w:b/>
          <w:sz w:val="24"/>
          <w:highlight w:val="none"/>
        </w:rPr>
      </w:pPr>
      <w:r>
        <w:rPr>
          <w:rFonts w:hint="eastAsia" w:ascii="宋体" w:hAnsi="宋体" w:cs="宋体"/>
          <w:b/>
          <w:sz w:val="24"/>
          <w:highlight w:val="none"/>
        </w:rPr>
        <w:t>13、投标报价</w:t>
      </w:r>
    </w:p>
    <w:p w14:paraId="6ED26891">
      <w:pPr>
        <w:spacing w:line="500" w:lineRule="exact"/>
        <w:ind w:firstLine="480"/>
        <w:rPr>
          <w:rFonts w:hint="eastAsia" w:ascii="宋体" w:hAnsi="宋体" w:cs="宋体"/>
          <w:sz w:val="24"/>
          <w:highlight w:val="none"/>
          <w:shd w:val="clear" w:color="auto" w:fill="FFC000"/>
        </w:rPr>
      </w:pPr>
      <w:r>
        <w:rPr>
          <w:rFonts w:hint="eastAsia" w:ascii="宋体" w:hAnsi="宋体" w:cs="宋体"/>
          <w:sz w:val="24"/>
          <w:highlight w:val="none"/>
        </w:rPr>
        <w:t>13.1本项目不接受备选的投标方案或有选择的报价，只允许有一个报价。投标报价内容包括：</w:t>
      </w:r>
      <w:bookmarkStart w:id="31" w:name="EB54dd097a55df4796bd5f9b6bdf2ddc40"/>
      <w:r>
        <w:rPr>
          <w:rFonts w:hint="eastAsia" w:ascii="宋体" w:hAnsi="宋体" w:cs="宋体"/>
          <w:sz w:val="24"/>
          <w:highlight w:val="none"/>
        </w:rPr>
        <w:t>设备本身、安装调试费、人工费、服务费、税金以及交付使用过程中涉及到的其他一切费用。</w:t>
      </w:r>
      <w:bookmarkEnd w:id="31"/>
    </w:p>
    <w:p w14:paraId="56C8F6DD">
      <w:pPr>
        <w:spacing w:line="500" w:lineRule="exact"/>
        <w:ind w:firstLine="480"/>
        <w:rPr>
          <w:rFonts w:hint="eastAsia" w:ascii="宋体" w:hAnsi="宋体" w:cs="宋体"/>
          <w:sz w:val="24"/>
          <w:highlight w:val="none"/>
        </w:rPr>
      </w:pPr>
      <w:r>
        <w:rPr>
          <w:rFonts w:hint="eastAsia" w:ascii="宋体" w:hAnsi="宋体" w:cs="宋体"/>
          <w:sz w:val="24"/>
          <w:highlight w:val="none"/>
        </w:rPr>
        <w:t>13.3报价注意事项：</w:t>
      </w:r>
    </w:p>
    <w:p w14:paraId="3AEC1037">
      <w:pPr>
        <w:spacing w:line="500" w:lineRule="exact"/>
        <w:ind w:firstLine="480"/>
        <w:rPr>
          <w:rFonts w:hint="eastAsia" w:ascii="宋体" w:hAnsi="宋体" w:cs="宋体"/>
          <w:sz w:val="24"/>
          <w:highlight w:val="none"/>
        </w:rPr>
      </w:pPr>
      <w:r>
        <w:rPr>
          <w:rFonts w:hint="eastAsia" w:ascii="宋体" w:hAnsi="宋体" w:cs="宋体"/>
          <w:sz w:val="24"/>
          <w:highlight w:val="none"/>
        </w:rPr>
        <w:t>13.3.1价格一律以人民币计算；</w:t>
      </w:r>
    </w:p>
    <w:p w14:paraId="501704F6">
      <w:pPr>
        <w:spacing w:line="500" w:lineRule="exact"/>
        <w:ind w:firstLine="480"/>
        <w:rPr>
          <w:rFonts w:hint="eastAsia" w:ascii="宋体" w:hAnsi="宋体" w:cs="宋体"/>
          <w:sz w:val="24"/>
          <w:highlight w:val="none"/>
        </w:rPr>
      </w:pPr>
      <w:r>
        <w:rPr>
          <w:rFonts w:hint="eastAsia" w:ascii="宋体" w:hAnsi="宋体" w:cs="宋体"/>
          <w:sz w:val="24"/>
          <w:highlight w:val="none"/>
        </w:rPr>
        <w:t>13.3.2投标人报价时应充分考虑所有可能影响到报价的因素，一旦评标结束最终中标，如发生漏、缺、少项，都将被认为是中标人的报价让利行为，损失自负。</w:t>
      </w:r>
    </w:p>
    <w:p w14:paraId="757706CA">
      <w:pPr>
        <w:spacing w:line="500" w:lineRule="exact"/>
        <w:ind w:firstLine="482"/>
        <w:rPr>
          <w:rFonts w:hint="eastAsia" w:ascii="宋体" w:hAnsi="宋体" w:cs="宋体"/>
          <w:b/>
          <w:sz w:val="24"/>
          <w:highlight w:val="none"/>
        </w:rPr>
      </w:pPr>
      <w:r>
        <w:rPr>
          <w:rFonts w:hint="eastAsia" w:ascii="宋体" w:hAnsi="宋体" w:cs="宋体"/>
          <w:b/>
          <w:sz w:val="24"/>
          <w:highlight w:val="none"/>
        </w:rPr>
        <w:t>14、投标保证金</w:t>
      </w:r>
    </w:p>
    <w:p w14:paraId="56DBA335">
      <w:pPr>
        <w:spacing w:line="500" w:lineRule="exact"/>
        <w:ind w:firstLine="480"/>
        <w:rPr>
          <w:rFonts w:hint="eastAsia" w:ascii="宋体" w:hAnsi="宋体" w:cs="宋体"/>
          <w:bCs/>
          <w:sz w:val="24"/>
          <w:highlight w:val="none"/>
        </w:rPr>
      </w:pPr>
      <w:r>
        <w:rPr>
          <w:rFonts w:hint="eastAsia" w:ascii="宋体" w:hAnsi="宋体" w:cs="宋体"/>
          <w:bCs/>
          <w:sz w:val="24"/>
          <w:highlight w:val="none"/>
        </w:rPr>
        <w:t>本项目不收取投标保证金。</w:t>
      </w:r>
    </w:p>
    <w:p w14:paraId="70697D4A">
      <w:pPr>
        <w:spacing w:line="500" w:lineRule="exact"/>
        <w:ind w:firstLine="482"/>
        <w:rPr>
          <w:rFonts w:hint="eastAsia" w:ascii="宋体" w:hAnsi="宋体" w:cs="宋体"/>
          <w:b/>
          <w:sz w:val="24"/>
          <w:highlight w:val="none"/>
        </w:rPr>
      </w:pPr>
      <w:r>
        <w:rPr>
          <w:rFonts w:hint="eastAsia" w:ascii="宋体" w:hAnsi="宋体" w:cs="宋体"/>
          <w:b/>
          <w:sz w:val="24"/>
          <w:highlight w:val="none"/>
        </w:rPr>
        <w:t>15.招标代理服务费</w:t>
      </w:r>
    </w:p>
    <w:p w14:paraId="18D70300">
      <w:pPr>
        <w:spacing w:line="500" w:lineRule="exact"/>
        <w:ind w:firstLine="480"/>
        <w:rPr>
          <w:rFonts w:hint="eastAsia" w:ascii="宋体" w:hAnsi="宋体" w:cs="宋体"/>
          <w:sz w:val="24"/>
          <w:highlight w:val="none"/>
        </w:rPr>
      </w:pPr>
      <w:r>
        <w:rPr>
          <w:rFonts w:hint="eastAsia" w:ascii="宋体" w:hAnsi="宋体" w:cs="宋体"/>
          <w:sz w:val="24"/>
          <w:highlight w:val="none"/>
        </w:rPr>
        <w:t>15.1招标代理服务费按发改价格【2011】534号文收取，由中标单位支付给采购代理机构。</w:t>
      </w:r>
    </w:p>
    <w:p w14:paraId="1D15F56F">
      <w:pPr>
        <w:spacing w:line="500" w:lineRule="exact"/>
        <w:ind w:firstLine="482"/>
        <w:rPr>
          <w:rFonts w:hint="eastAsia" w:ascii="宋体" w:hAnsi="宋体" w:cs="宋体"/>
          <w:b/>
          <w:sz w:val="24"/>
          <w:highlight w:val="none"/>
        </w:rPr>
      </w:pPr>
      <w:r>
        <w:rPr>
          <w:rFonts w:hint="eastAsia" w:ascii="宋体" w:hAnsi="宋体" w:cs="宋体"/>
          <w:b/>
          <w:sz w:val="24"/>
          <w:highlight w:val="none"/>
        </w:rPr>
        <w:t>16、投标有效期</w:t>
      </w:r>
    </w:p>
    <w:p w14:paraId="669E774E">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16.1在投标人须知前附表规定的投标有效期内，投标人不得要求撤销或者修改其投标文件。 </w:t>
      </w:r>
    </w:p>
    <w:p w14:paraId="0816FBDB">
      <w:pPr>
        <w:spacing w:line="500" w:lineRule="exact"/>
        <w:ind w:firstLine="480"/>
        <w:rPr>
          <w:rFonts w:hint="eastAsia" w:ascii="宋体" w:hAnsi="宋体" w:cs="宋体"/>
          <w:highlight w:val="none"/>
        </w:rPr>
      </w:pPr>
      <w:r>
        <w:rPr>
          <w:rFonts w:hint="eastAsia" w:ascii="宋体" w:hAnsi="宋体" w:cs="宋体"/>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highlight w:val="none"/>
        </w:rPr>
        <w:t xml:space="preserve">   </w:t>
      </w:r>
      <w:bookmarkStart w:id="32" w:name="EB12ed6b870f334fa092f7ed1f9a9dbab8"/>
      <w:r>
        <w:rPr>
          <w:rFonts w:hint="eastAsia" w:ascii="宋体" w:hAnsi="宋体" w:cs="宋体"/>
          <w:sz w:val="20"/>
          <w:highlight w:val="none"/>
        </w:rPr>
        <w:t xml:space="preserve"> </w:t>
      </w:r>
      <w:bookmarkEnd w:id="32"/>
      <w:bookmarkStart w:id="33" w:name="EB5d36e8077cc64e309c0c0f0cd8a6f496"/>
      <w:r>
        <w:rPr>
          <w:rFonts w:hint="eastAsia" w:ascii="宋体" w:hAnsi="宋体" w:cs="宋体"/>
          <w:sz w:val="20"/>
          <w:highlight w:val="none"/>
        </w:rPr>
        <w:t xml:space="preserve"> </w:t>
      </w:r>
      <w:bookmarkEnd w:id="33"/>
    </w:p>
    <w:p w14:paraId="607C6D06">
      <w:pPr>
        <w:pStyle w:val="624"/>
        <w:outlineLvl w:val="1"/>
        <w:rPr>
          <w:rFonts w:hint="eastAsia" w:ascii="宋体" w:hAnsi="宋体" w:eastAsia="宋体" w:cs="宋体"/>
          <w:highlight w:val="none"/>
        </w:rPr>
      </w:pPr>
      <w:bookmarkStart w:id="34" w:name="_Toc514054475"/>
      <w:bookmarkStart w:id="35" w:name="_Toc26211"/>
      <w:r>
        <w:rPr>
          <w:rFonts w:hint="eastAsia" w:ascii="宋体" w:hAnsi="宋体" w:eastAsia="宋体" w:cs="宋体"/>
          <w:highlight w:val="none"/>
        </w:rPr>
        <w:t>四、投标文件的提交</w:t>
      </w:r>
      <w:bookmarkEnd w:id="34"/>
      <w:bookmarkEnd w:id="35"/>
    </w:p>
    <w:p w14:paraId="2AAA6842">
      <w:pPr>
        <w:spacing w:line="500" w:lineRule="exact"/>
        <w:ind w:firstLine="482"/>
        <w:rPr>
          <w:rFonts w:hint="eastAsia" w:ascii="宋体" w:hAnsi="宋体" w:cs="宋体"/>
          <w:b/>
          <w:sz w:val="24"/>
          <w:highlight w:val="none"/>
        </w:rPr>
      </w:pPr>
      <w:bookmarkStart w:id="36" w:name="_Toc514054476"/>
      <w:bookmarkStart w:id="37" w:name="_Toc11452"/>
      <w:r>
        <w:rPr>
          <w:rFonts w:hint="eastAsia" w:ascii="宋体" w:hAnsi="宋体" w:cs="宋体"/>
          <w:b/>
          <w:sz w:val="24"/>
          <w:highlight w:val="none"/>
        </w:rPr>
        <w:t>17.1、投标文件的提交</w:t>
      </w:r>
    </w:p>
    <w:p w14:paraId="25359DC8">
      <w:pPr>
        <w:spacing w:line="520" w:lineRule="exact"/>
        <w:ind w:firstLine="480"/>
        <w:rPr>
          <w:rFonts w:hint="eastAsia" w:ascii="宋体" w:hAnsi="宋体"/>
          <w:sz w:val="24"/>
          <w:highlight w:val="none"/>
        </w:rPr>
      </w:pPr>
      <w:r>
        <w:rPr>
          <w:rFonts w:hint="eastAsia" w:ascii="宋体" w:hAnsi="宋体"/>
          <w:sz w:val="24"/>
          <w:highlight w:val="none"/>
        </w:rPr>
        <w:t>17.1.1 电子投标文件的递交</w:t>
      </w:r>
    </w:p>
    <w:p w14:paraId="4CA8F845">
      <w:pPr>
        <w:spacing w:line="520" w:lineRule="exact"/>
        <w:ind w:firstLine="480"/>
        <w:rPr>
          <w:rFonts w:hint="eastAsia" w:ascii="宋体" w:hAnsi="宋体"/>
          <w:sz w:val="24"/>
          <w:highlight w:val="none"/>
        </w:rPr>
      </w:pPr>
      <w:r>
        <w:rPr>
          <w:rFonts w:hint="eastAsia" w:ascii="宋体" w:hAnsi="宋体"/>
          <w:sz w:val="24"/>
          <w:highlight w:val="none"/>
        </w:rPr>
        <w:t>投标人应当按照《操作手册》规定，在投标截止时间前制作并上传电子投标文件。</w:t>
      </w:r>
      <w:bookmarkStart w:id="38" w:name="_Toc16938542"/>
      <w:bookmarkEnd w:id="38"/>
      <w:bookmarkStart w:id="39" w:name="_Toc20823298"/>
      <w:bookmarkEnd w:id="39"/>
    </w:p>
    <w:p w14:paraId="491ECDF5">
      <w:pPr>
        <w:spacing w:line="500" w:lineRule="exact"/>
        <w:ind w:firstLine="482"/>
        <w:rPr>
          <w:rFonts w:hint="eastAsia" w:ascii="宋体" w:hAnsi="宋体" w:cs="宋体"/>
          <w:b/>
          <w:sz w:val="24"/>
          <w:highlight w:val="none"/>
        </w:rPr>
      </w:pPr>
      <w:r>
        <w:rPr>
          <w:rFonts w:hint="eastAsia" w:ascii="宋体" w:hAnsi="宋体" w:cs="宋体"/>
          <w:b/>
          <w:sz w:val="24"/>
          <w:highlight w:val="none"/>
        </w:rPr>
        <w:t>17.2、投标截止时间</w:t>
      </w:r>
    </w:p>
    <w:p w14:paraId="4160BF41">
      <w:pPr>
        <w:spacing w:line="520" w:lineRule="exact"/>
        <w:ind w:firstLine="480"/>
        <w:rPr>
          <w:rFonts w:hint="eastAsia" w:ascii="宋体" w:hAnsi="宋体"/>
          <w:sz w:val="24"/>
          <w:highlight w:val="none"/>
        </w:rPr>
      </w:pPr>
      <w:r>
        <w:rPr>
          <w:rFonts w:hint="eastAsia" w:ascii="宋体" w:hAnsi="宋体"/>
          <w:sz w:val="24"/>
          <w:highlight w:val="none"/>
        </w:rPr>
        <w:t>17.2.1投标人上传电子投标文件的时间不得迟于招标公告中规定的投标截止时间。</w:t>
      </w:r>
    </w:p>
    <w:p w14:paraId="3CD64958">
      <w:pPr>
        <w:spacing w:line="520" w:lineRule="exact"/>
        <w:ind w:firstLine="480"/>
        <w:rPr>
          <w:rFonts w:hint="eastAsia" w:ascii="宋体" w:hAnsi="宋体"/>
          <w:sz w:val="24"/>
          <w:highlight w:val="none"/>
        </w:rPr>
      </w:pPr>
      <w:r>
        <w:rPr>
          <w:rFonts w:hint="eastAsia" w:ascii="宋体" w:hAnsi="宋体"/>
          <w:sz w:val="24"/>
          <w:highlight w:val="none"/>
        </w:rPr>
        <w:t>投标人应充分考虑到网络环境、网络带宽等风险因素，如因投标人自身原因造成的电子投标文件上传不成功的按照本招标文件第二部分第18.1.2条 规定做无效投标处理。</w:t>
      </w:r>
    </w:p>
    <w:p w14:paraId="2C5EC197">
      <w:pPr>
        <w:spacing w:line="520" w:lineRule="exact"/>
        <w:ind w:firstLine="480"/>
        <w:rPr>
          <w:highlight w:val="none"/>
        </w:rPr>
      </w:pPr>
      <w:r>
        <w:rPr>
          <w:rFonts w:hint="eastAsia" w:ascii="宋体" w:hAnsi="宋体"/>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36329781">
      <w:pPr>
        <w:spacing w:line="500" w:lineRule="exact"/>
        <w:ind w:firstLine="482"/>
        <w:rPr>
          <w:rFonts w:hint="eastAsia" w:ascii="宋体" w:hAnsi="宋体" w:cs="宋体"/>
          <w:b/>
          <w:sz w:val="24"/>
          <w:highlight w:val="none"/>
        </w:rPr>
      </w:pPr>
      <w:r>
        <w:rPr>
          <w:rFonts w:hint="eastAsia" w:ascii="宋体" w:hAnsi="宋体" w:cs="宋体"/>
          <w:b/>
          <w:sz w:val="24"/>
          <w:highlight w:val="none"/>
        </w:rPr>
        <w:t>17.3、投标文件被拒绝接收的情形</w:t>
      </w:r>
    </w:p>
    <w:p w14:paraId="004BA52D">
      <w:pPr>
        <w:spacing w:line="520" w:lineRule="exact"/>
        <w:ind w:firstLine="480"/>
        <w:rPr>
          <w:rFonts w:hint="eastAsia" w:ascii="宋体" w:hAnsi="宋体" w:cs="宋体"/>
          <w:sz w:val="20"/>
          <w:highlight w:val="none"/>
        </w:rPr>
      </w:pPr>
      <w:r>
        <w:rPr>
          <w:rFonts w:hint="eastAsia" w:ascii="宋体" w:hAnsi="宋体" w:cs="宋体"/>
          <w:sz w:val="24"/>
          <w:highlight w:val="none"/>
        </w:rPr>
        <w:t>17.3.1</w:t>
      </w:r>
      <w:bookmarkStart w:id="40" w:name="EB200c38d7a1c345f29b604b38d510a951"/>
      <w:r>
        <w:rPr>
          <w:rFonts w:hint="eastAsia" w:ascii="宋体" w:hAnsi="宋体"/>
          <w:sz w:val="24"/>
          <w:highlight w:val="none"/>
        </w:rPr>
        <w:t>采购代理机构拒绝接收在其规定的投标截止时间后上传的任何投标文件。</w:t>
      </w:r>
      <w:r>
        <w:rPr>
          <w:rFonts w:hint="eastAsia" w:ascii="宋体" w:hAnsi="宋体" w:cs="宋体"/>
          <w:sz w:val="20"/>
          <w:highlight w:val="none"/>
        </w:rPr>
        <w:t xml:space="preserve"> </w:t>
      </w:r>
      <w:bookmarkEnd w:id="40"/>
    </w:p>
    <w:p w14:paraId="74502F85">
      <w:pPr>
        <w:spacing w:line="520" w:lineRule="exact"/>
        <w:ind w:firstLine="480"/>
        <w:rPr>
          <w:rFonts w:hint="eastAsia" w:ascii="宋体" w:hAnsi="宋体"/>
          <w:b/>
          <w:bCs/>
          <w:sz w:val="24"/>
          <w:highlight w:val="none"/>
        </w:rPr>
      </w:pPr>
      <w:bookmarkStart w:id="41" w:name="_Toc16938544"/>
      <w:bookmarkStart w:id="42" w:name="_Toc513029228"/>
      <w:bookmarkStart w:id="43" w:name="_Toc20823300"/>
      <w:r>
        <w:rPr>
          <w:rFonts w:hint="eastAsia" w:ascii="宋体" w:hAnsi="宋体"/>
          <w:b/>
          <w:bCs/>
          <w:sz w:val="24"/>
          <w:highlight w:val="none"/>
        </w:rPr>
        <w:t>17.4、投标文件的撤回和修改</w:t>
      </w:r>
      <w:bookmarkEnd w:id="41"/>
      <w:bookmarkEnd w:id="42"/>
      <w:bookmarkEnd w:id="43"/>
    </w:p>
    <w:p w14:paraId="0D3BA621">
      <w:pPr>
        <w:spacing w:line="520" w:lineRule="exact"/>
        <w:ind w:firstLine="480"/>
        <w:rPr>
          <w:rFonts w:hint="eastAsia" w:ascii="宋体" w:hAnsi="宋体"/>
          <w:sz w:val="24"/>
          <w:highlight w:val="none"/>
        </w:rPr>
      </w:pPr>
      <w:r>
        <w:rPr>
          <w:rFonts w:hint="eastAsia" w:ascii="宋体" w:hAnsi="宋体"/>
          <w:sz w:val="24"/>
          <w:highlight w:val="none"/>
        </w:rPr>
        <w:t>17.4.1投标文件的撤回</w:t>
      </w:r>
    </w:p>
    <w:p w14:paraId="54976C39">
      <w:pPr>
        <w:spacing w:line="520" w:lineRule="exact"/>
        <w:ind w:firstLine="480"/>
        <w:rPr>
          <w:rFonts w:hint="eastAsia" w:ascii="宋体" w:hAnsi="宋体"/>
          <w:sz w:val="24"/>
          <w:highlight w:val="none"/>
        </w:rPr>
      </w:pPr>
      <w:r>
        <w:rPr>
          <w:rFonts w:hint="eastAsia" w:ascii="宋体" w:hAnsi="宋体"/>
          <w:sz w:val="24"/>
          <w:highlight w:val="none"/>
        </w:rPr>
        <w:t>17.4.1.1电子投标文件的撤回</w:t>
      </w:r>
    </w:p>
    <w:p w14:paraId="27E8AEF6">
      <w:pPr>
        <w:spacing w:line="520" w:lineRule="exact"/>
        <w:ind w:firstLine="480"/>
        <w:rPr>
          <w:rFonts w:hint="eastAsia" w:ascii="宋体" w:hAnsi="宋体"/>
          <w:sz w:val="24"/>
          <w:highlight w:val="none"/>
        </w:rPr>
      </w:pPr>
      <w:r>
        <w:rPr>
          <w:rFonts w:hint="eastAsia" w:ascii="宋体" w:hAnsi="宋体"/>
          <w:sz w:val="24"/>
          <w:highlight w:val="none"/>
        </w:rPr>
        <w:t>投标人可在投标截止时间前，撤回其电子投标文件，具体操作方法见《操作手册》。</w:t>
      </w:r>
    </w:p>
    <w:p w14:paraId="2271D68F">
      <w:pPr>
        <w:spacing w:line="520" w:lineRule="exact"/>
        <w:ind w:firstLine="480"/>
        <w:rPr>
          <w:rFonts w:hint="eastAsia" w:ascii="宋体" w:hAnsi="宋体"/>
          <w:sz w:val="24"/>
          <w:highlight w:val="none"/>
        </w:rPr>
      </w:pPr>
      <w:r>
        <w:rPr>
          <w:rFonts w:hint="eastAsia" w:ascii="宋体" w:hAnsi="宋体"/>
          <w:sz w:val="24"/>
          <w:highlight w:val="none"/>
        </w:rPr>
        <w:t>17.4.1.2投标人撤回电子投标文件，则认为其不再参与本项目投标活动。</w:t>
      </w:r>
    </w:p>
    <w:p w14:paraId="4EC66897">
      <w:pPr>
        <w:spacing w:line="520" w:lineRule="exact"/>
        <w:ind w:firstLine="480"/>
        <w:rPr>
          <w:rFonts w:hint="eastAsia" w:ascii="宋体" w:hAnsi="宋体"/>
          <w:sz w:val="24"/>
          <w:highlight w:val="none"/>
        </w:rPr>
      </w:pPr>
      <w:r>
        <w:rPr>
          <w:rFonts w:hint="eastAsia" w:ascii="宋体" w:hAnsi="宋体"/>
          <w:sz w:val="24"/>
          <w:highlight w:val="none"/>
        </w:rPr>
        <w:t>17.4.2 投标文件的修改</w:t>
      </w:r>
    </w:p>
    <w:p w14:paraId="3B100567">
      <w:pPr>
        <w:spacing w:line="520" w:lineRule="exact"/>
        <w:ind w:firstLine="480"/>
        <w:rPr>
          <w:rFonts w:hint="eastAsia" w:ascii="宋体" w:hAnsi="宋体"/>
          <w:sz w:val="24"/>
          <w:highlight w:val="none"/>
        </w:rPr>
      </w:pPr>
      <w:r>
        <w:rPr>
          <w:rFonts w:hint="eastAsia" w:ascii="宋体" w:hAnsi="宋体"/>
          <w:sz w:val="24"/>
          <w:highlight w:val="none"/>
        </w:rPr>
        <w:t>17.4.2.1投标人可在投标截止时间前，对其电子投标文件进行修改，具体操作方法见《操作手册》。</w:t>
      </w:r>
    </w:p>
    <w:p w14:paraId="37C3B245">
      <w:pPr>
        <w:spacing w:line="520" w:lineRule="exact"/>
        <w:ind w:firstLine="480"/>
        <w:rPr>
          <w:rFonts w:hint="eastAsia" w:ascii="宋体" w:hAnsi="宋体"/>
          <w:sz w:val="24"/>
          <w:highlight w:val="none"/>
        </w:rPr>
      </w:pPr>
      <w:r>
        <w:rPr>
          <w:rFonts w:hint="eastAsia" w:ascii="宋体" w:hAnsi="宋体"/>
          <w:sz w:val="24"/>
          <w:highlight w:val="none"/>
        </w:rPr>
        <w:t>17.4.2.2在投标截止时间之后，投标人不得对其电子投标文件作任何修改。</w:t>
      </w:r>
    </w:p>
    <w:p w14:paraId="4A5E9273">
      <w:pPr>
        <w:spacing w:line="520" w:lineRule="exact"/>
        <w:ind w:firstLine="480"/>
        <w:rPr>
          <w:rFonts w:hint="eastAsia" w:ascii="宋体" w:hAnsi="宋体"/>
          <w:sz w:val="24"/>
          <w:highlight w:val="none"/>
        </w:rPr>
      </w:pPr>
      <w:r>
        <w:rPr>
          <w:rFonts w:hint="eastAsia" w:ascii="宋体" w:hAnsi="宋体"/>
          <w:sz w:val="24"/>
          <w:highlight w:val="none"/>
        </w:rPr>
        <w:t>17.4.3在投标截止时间至招标文件中规定的投标有效期满之间的这段时间内，投标人不得撤回其投标。</w:t>
      </w:r>
    </w:p>
    <w:p w14:paraId="18026C56">
      <w:pPr>
        <w:pStyle w:val="624"/>
        <w:outlineLvl w:val="1"/>
        <w:rPr>
          <w:rFonts w:hint="eastAsia" w:ascii="宋体" w:hAnsi="宋体" w:eastAsia="宋体" w:cs="宋体"/>
          <w:highlight w:val="none"/>
        </w:rPr>
      </w:pPr>
      <w:r>
        <w:rPr>
          <w:rFonts w:hint="eastAsia" w:ascii="宋体" w:hAnsi="宋体" w:eastAsia="宋体" w:cs="宋体"/>
          <w:highlight w:val="none"/>
        </w:rPr>
        <w:t>五、无效标、投标被拒绝、串通投标认定条款</w:t>
      </w:r>
      <w:bookmarkEnd w:id="36"/>
      <w:bookmarkEnd w:id="37"/>
    </w:p>
    <w:p w14:paraId="585B4BDD">
      <w:pPr>
        <w:spacing w:line="500" w:lineRule="exact"/>
        <w:ind w:firstLine="482"/>
        <w:rPr>
          <w:rFonts w:hint="eastAsia" w:ascii="宋体" w:hAnsi="宋体" w:cs="宋体"/>
          <w:b/>
          <w:sz w:val="24"/>
          <w:highlight w:val="none"/>
        </w:rPr>
      </w:pPr>
      <w:r>
        <w:rPr>
          <w:rFonts w:hint="eastAsia" w:ascii="宋体" w:hAnsi="宋体" w:cs="宋体"/>
          <w:b/>
          <w:sz w:val="24"/>
          <w:highlight w:val="none"/>
        </w:rPr>
        <w:t>18、以下情形将视为无效投标</w:t>
      </w:r>
      <w:bookmarkStart w:id="44" w:name="EB94942e5430df4fb8a077f3cf7667f212"/>
    </w:p>
    <w:p w14:paraId="77E2E670">
      <w:pPr>
        <w:spacing w:line="520" w:lineRule="exact"/>
        <w:ind w:firstLine="480"/>
        <w:rPr>
          <w:rFonts w:hint="eastAsia" w:ascii="宋体" w:hAnsi="宋体"/>
          <w:sz w:val="24"/>
          <w:highlight w:val="none"/>
        </w:rPr>
      </w:pPr>
      <w:r>
        <w:rPr>
          <w:rFonts w:hint="eastAsia" w:ascii="宋体" w:hAnsi="宋体"/>
          <w:sz w:val="24"/>
          <w:highlight w:val="none"/>
        </w:rPr>
        <w:t>18.1.1投标人在苏采云系统规定的时间内未成功解密电子投标文件的。</w:t>
      </w:r>
    </w:p>
    <w:p w14:paraId="0B99611B">
      <w:pPr>
        <w:spacing w:line="520" w:lineRule="exact"/>
        <w:ind w:firstLine="480"/>
        <w:rPr>
          <w:rFonts w:hint="eastAsia" w:ascii="宋体" w:hAnsi="宋体"/>
          <w:sz w:val="24"/>
          <w:highlight w:val="none"/>
        </w:rPr>
      </w:pPr>
      <w:r>
        <w:rPr>
          <w:rFonts w:hint="eastAsia" w:ascii="宋体" w:hAnsi="宋体"/>
          <w:sz w:val="24"/>
          <w:highlight w:val="none"/>
        </w:rPr>
        <w:t>18.1.2投标人未按照招标文件要求上传电子投标文件的。</w:t>
      </w:r>
    </w:p>
    <w:p w14:paraId="29BD31D9">
      <w:pPr>
        <w:spacing w:line="520" w:lineRule="exact"/>
        <w:ind w:firstLine="480"/>
        <w:rPr>
          <w:rFonts w:hint="eastAsia" w:ascii="宋体" w:hAnsi="宋体"/>
          <w:sz w:val="24"/>
          <w:highlight w:val="none"/>
        </w:rPr>
      </w:pPr>
      <w:r>
        <w:rPr>
          <w:rFonts w:hint="eastAsia" w:ascii="宋体" w:hAnsi="宋体"/>
          <w:sz w:val="24"/>
          <w:highlight w:val="none"/>
        </w:rPr>
        <w:t>18.1.3同一投标人提交两个（含两个）以上不同的投标报价的。</w:t>
      </w:r>
    </w:p>
    <w:p w14:paraId="68025348">
      <w:pPr>
        <w:spacing w:line="520" w:lineRule="exact"/>
        <w:ind w:firstLine="480"/>
        <w:rPr>
          <w:rFonts w:hint="eastAsia" w:ascii="宋体" w:hAnsi="宋体"/>
          <w:sz w:val="24"/>
          <w:highlight w:val="none"/>
        </w:rPr>
      </w:pPr>
      <w:r>
        <w:rPr>
          <w:rFonts w:hint="eastAsia" w:ascii="宋体" w:hAnsi="宋体"/>
          <w:sz w:val="24"/>
          <w:highlight w:val="none"/>
        </w:rPr>
        <w:t>18.1.4投标人不具备招标文件中规定资格要求的。</w:t>
      </w:r>
    </w:p>
    <w:p w14:paraId="59A9881F">
      <w:pPr>
        <w:spacing w:line="520" w:lineRule="exact"/>
        <w:ind w:firstLine="480"/>
        <w:rPr>
          <w:rFonts w:hint="eastAsia" w:ascii="宋体" w:hAnsi="宋体"/>
          <w:sz w:val="24"/>
          <w:highlight w:val="none"/>
        </w:rPr>
      </w:pPr>
      <w:r>
        <w:rPr>
          <w:rFonts w:hint="eastAsia" w:ascii="宋体" w:hAnsi="宋体"/>
          <w:sz w:val="24"/>
          <w:highlight w:val="none"/>
        </w:rPr>
        <w:t>18.1.5投标人的报价超过了采购预算或最高限价的。</w:t>
      </w:r>
    </w:p>
    <w:p w14:paraId="0A3EEB8D">
      <w:pPr>
        <w:spacing w:line="520" w:lineRule="exact"/>
        <w:ind w:firstLine="480"/>
        <w:rPr>
          <w:rFonts w:hint="eastAsia" w:ascii="宋体" w:hAnsi="宋体"/>
          <w:sz w:val="24"/>
          <w:highlight w:val="none"/>
        </w:rPr>
      </w:pPr>
      <w:r>
        <w:rPr>
          <w:rFonts w:hint="eastAsia" w:ascii="宋体" w:hAnsi="宋体"/>
          <w:sz w:val="24"/>
          <w:highlight w:val="none"/>
        </w:rPr>
        <w:t>18.1.6未通过符合性审查的。</w:t>
      </w:r>
    </w:p>
    <w:p w14:paraId="0E0C6970">
      <w:pPr>
        <w:spacing w:line="520" w:lineRule="exact"/>
        <w:ind w:firstLine="480"/>
        <w:rPr>
          <w:rFonts w:hint="eastAsia" w:ascii="宋体" w:hAnsi="宋体"/>
          <w:sz w:val="24"/>
          <w:highlight w:val="none"/>
        </w:rPr>
      </w:pPr>
      <w:r>
        <w:rPr>
          <w:rFonts w:hint="eastAsia" w:ascii="宋体" w:hAnsi="宋体"/>
          <w:sz w:val="24"/>
          <w:highlight w:val="none"/>
        </w:rPr>
        <w:t>18.1.7不符合招标文件中规定的实质性要求和条件的。</w:t>
      </w:r>
    </w:p>
    <w:p w14:paraId="4CE73E2E">
      <w:pPr>
        <w:spacing w:line="520" w:lineRule="exact"/>
        <w:ind w:firstLine="480"/>
        <w:rPr>
          <w:rFonts w:hint="eastAsia" w:ascii="宋体" w:hAnsi="宋体"/>
          <w:sz w:val="24"/>
          <w:highlight w:val="none"/>
        </w:rPr>
      </w:pPr>
      <w:r>
        <w:rPr>
          <w:rFonts w:hint="eastAsia" w:ascii="宋体" w:hAnsi="宋体"/>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E2E858D">
      <w:pPr>
        <w:spacing w:line="520" w:lineRule="exact"/>
        <w:ind w:firstLine="480"/>
        <w:rPr>
          <w:rFonts w:hint="eastAsia" w:ascii="宋体" w:hAnsi="宋体"/>
          <w:sz w:val="24"/>
          <w:highlight w:val="none"/>
        </w:rPr>
      </w:pPr>
      <w:r>
        <w:rPr>
          <w:rFonts w:hint="eastAsia" w:ascii="宋体" w:hAnsi="宋体"/>
          <w:sz w:val="24"/>
          <w:highlight w:val="none"/>
        </w:rPr>
        <w:t>18.1.9投标文件含有采购人不能接受的附加条件的。</w:t>
      </w:r>
    </w:p>
    <w:p w14:paraId="782EE61B">
      <w:pPr>
        <w:spacing w:line="520" w:lineRule="exact"/>
        <w:ind w:firstLine="480"/>
        <w:rPr>
          <w:rFonts w:hint="eastAsia" w:ascii="宋体" w:hAnsi="宋体"/>
          <w:sz w:val="24"/>
          <w:highlight w:val="none"/>
        </w:rPr>
      </w:pPr>
      <w:r>
        <w:rPr>
          <w:rFonts w:hint="eastAsia" w:ascii="宋体" w:hAnsi="宋体"/>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BF9FA22">
      <w:pPr>
        <w:spacing w:line="520" w:lineRule="exact"/>
        <w:ind w:firstLine="480"/>
        <w:rPr>
          <w:rFonts w:hint="eastAsia" w:ascii="宋体" w:hAnsi="宋体"/>
          <w:sz w:val="24"/>
          <w:highlight w:val="none"/>
        </w:rPr>
      </w:pPr>
      <w:r>
        <w:rPr>
          <w:rFonts w:hint="eastAsia" w:ascii="宋体" w:hAnsi="宋体"/>
          <w:sz w:val="24"/>
          <w:highlight w:val="none"/>
        </w:rPr>
        <w:t>18.1.11</w:t>
      </w:r>
      <w:r>
        <w:rPr>
          <w:rFonts w:ascii="宋体" w:hAnsi="宋体"/>
          <w:sz w:val="24"/>
          <w:highlight w:val="none"/>
        </w:rPr>
        <w:t>本项目采购产品</w:t>
      </w:r>
      <w:r>
        <w:rPr>
          <w:rFonts w:hint="eastAsia" w:ascii="宋体" w:hAnsi="宋体"/>
          <w:sz w:val="24"/>
          <w:highlight w:val="none"/>
        </w:rPr>
        <w:t>如</w:t>
      </w:r>
      <w:r>
        <w:rPr>
          <w:rFonts w:ascii="宋体" w:hAnsi="宋体"/>
          <w:sz w:val="24"/>
          <w:highlight w:val="none"/>
        </w:rPr>
        <w:t>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0F8AA6A">
      <w:pPr>
        <w:spacing w:line="520" w:lineRule="exact"/>
        <w:ind w:firstLine="480"/>
        <w:rPr>
          <w:rFonts w:hint="eastAsia" w:ascii="宋体" w:hAnsi="宋体"/>
          <w:sz w:val="24"/>
          <w:highlight w:val="none"/>
        </w:rPr>
      </w:pPr>
      <w:r>
        <w:rPr>
          <w:rFonts w:hint="eastAsia" w:ascii="宋体" w:hAnsi="宋体"/>
          <w:sz w:val="24"/>
          <w:highlight w:val="none"/>
        </w:rPr>
        <w:t>18.1.12投标文件未按照招标文件要求加盖公章的。</w:t>
      </w:r>
    </w:p>
    <w:p w14:paraId="6B40F920">
      <w:pPr>
        <w:spacing w:line="500" w:lineRule="exact"/>
        <w:ind w:firstLine="480"/>
        <w:rPr>
          <w:rFonts w:hint="eastAsia" w:ascii="宋体" w:hAnsi="宋体" w:cs="宋体"/>
          <w:sz w:val="24"/>
          <w:highlight w:val="none"/>
        </w:rPr>
      </w:pPr>
      <w:r>
        <w:rPr>
          <w:rFonts w:hint="eastAsia" w:ascii="宋体" w:hAnsi="宋体"/>
          <w:sz w:val="24"/>
          <w:highlight w:val="none"/>
        </w:rPr>
        <w:t>18.1.13</w:t>
      </w:r>
      <w:r>
        <w:rPr>
          <w:rFonts w:hint="eastAsia" w:ascii="宋体" w:hAnsi="宋体" w:cs="宋体"/>
          <w:sz w:val="24"/>
          <w:highlight w:val="none"/>
        </w:rPr>
        <w:t>投标文件含有采购人不能接受的附加条件的；</w:t>
      </w:r>
    </w:p>
    <w:p w14:paraId="61F9F19D">
      <w:pPr>
        <w:spacing w:line="500" w:lineRule="exact"/>
        <w:ind w:firstLine="480"/>
        <w:rPr>
          <w:rFonts w:hint="eastAsia" w:ascii="宋体" w:hAnsi="宋体" w:cs="宋体"/>
          <w:sz w:val="24"/>
          <w:highlight w:val="none"/>
        </w:rPr>
      </w:pPr>
      <w:r>
        <w:rPr>
          <w:rFonts w:hint="eastAsia" w:ascii="宋体" w:hAnsi="宋体"/>
          <w:sz w:val="24"/>
          <w:highlight w:val="none"/>
        </w:rPr>
        <w:t>18.1.14</w:t>
      </w:r>
      <w:r>
        <w:rPr>
          <w:rFonts w:hint="eastAsia" w:ascii="宋体" w:hAnsi="宋体" w:cs="宋体"/>
          <w:sz w:val="24"/>
          <w:highlight w:val="none"/>
        </w:rPr>
        <w:t>投标人有本招标文件规定的恶意串通投标情形的；</w:t>
      </w:r>
    </w:p>
    <w:p w14:paraId="746F280C">
      <w:pPr>
        <w:spacing w:line="500" w:lineRule="exact"/>
        <w:ind w:firstLine="480"/>
        <w:rPr>
          <w:rFonts w:hint="eastAsia" w:ascii="宋体" w:hAnsi="宋体" w:cs="宋体"/>
          <w:sz w:val="24"/>
          <w:highlight w:val="none"/>
        </w:rPr>
      </w:pPr>
      <w:r>
        <w:rPr>
          <w:rFonts w:hint="eastAsia" w:ascii="宋体" w:hAnsi="宋体"/>
          <w:sz w:val="24"/>
          <w:highlight w:val="none"/>
        </w:rPr>
        <w:t>18.1.15</w:t>
      </w:r>
      <w:r>
        <w:rPr>
          <w:rFonts w:hint="eastAsia" w:ascii="宋体" w:hAnsi="宋体" w:cs="宋体"/>
          <w:sz w:val="24"/>
          <w:highlight w:val="none"/>
        </w:rPr>
        <w:t>其它评标委员会认为有必要取消的投标；</w:t>
      </w:r>
    </w:p>
    <w:p w14:paraId="3E8768F9">
      <w:pPr>
        <w:spacing w:line="500" w:lineRule="exact"/>
        <w:ind w:firstLine="480"/>
        <w:rPr>
          <w:rFonts w:hint="eastAsia" w:ascii="宋体" w:hAnsi="宋体" w:cs="宋体"/>
          <w:sz w:val="24"/>
          <w:highlight w:val="none"/>
        </w:rPr>
      </w:pPr>
      <w:r>
        <w:rPr>
          <w:rFonts w:hint="eastAsia" w:ascii="宋体" w:hAnsi="宋体"/>
          <w:sz w:val="24"/>
          <w:highlight w:val="none"/>
        </w:rPr>
        <w:t>18.1.16其他法律、法规及本招标文件规定的属无效投标的情形。</w:t>
      </w:r>
      <w:bookmarkEnd w:id="44"/>
    </w:p>
    <w:p w14:paraId="75FFD457">
      <w:pPr>
        <w:spacing w:line="500" w:lineRule="exact"/>
        <w:ind w:firstLine="482"/>
        <w:rPr>
          <w:rFonts w:hint="eastAsia" w:ascii="宋体" w:hAnsi="宋体" w:cs="宋体"/>
          <w:b/>
          <w:sz w:val="24"/>
          <w:highlight w:val="none"/>
        </w:rPr>
      </w:pPr>
      <w:r>
        <w:rPr>
          <w:rFonts w:hint="eastAsia" w:ascii="宋体" w:hAnsi="宋体" w:cs="宋体"/>
          <w:b/>
          <w:sz w:val="24"/>
          <w:highlight w:val="none"/>
        </w:rPr>
        <w:t>19、以下情形投标将被拒绝</w:t>
      </w:r>
    </w:p>
    <w:p w14:paraId="43515F66">
      <w:pPr>
        <w:spacing w:line="500" w:lineRule="exact"/>
        <w:ind w:firstLine="480"/>
        <w:rPr>
          <w:rFonts w:hint="eastAsia" w:ascii="宋体" w:hAnsi="宋体" w:cs="宋体"/>
          <w:sz w:val="24"/>
          <w:highlight w:val="none"/>
        </w:rPr>
      </w:pPr>
      <w:r>
        <w:rPr>
          <w:rFonts w:hint="eastAsia" w:ascii="宋体" w:hAnsi="宋体" w:cs="宋体"/>
          <w:sz w:val="24"/>
          <w:highlight w:val="none"/>
        </w:rPr>
        <w:t>19.1符合专业条件的供应商或者对招标文件作实质响应的供应商不足三家的（20条规定情形除外）；</w:t>
      </w:r>
    </w:p>
    <w:p w14:paraId="3AAF4DD6">
      <w:pPr>
        <w:spacing w:line="500" w:lineRule="exact"/>
        <w:ind w:firstLine="480"/>
        <w:rPr>
          <w:rFonts w:hint="eastAsia" w:ascii="宋体" w:hAnsi="宋体" w:cs="宋体"/>
          <w:sz w:val="24"/>
          <w:highlight w:val="none"/>
        </w:rPr>
      </w:pPr>
      <w:r>
        <w:rPr>
          <w:rFonts w:hint="eastAsia" w:ascii="宋体" w:hAnsi="宋体" w:cs="宋体"/>
          <w:sz w:val="24"/>
          <w:highlight w:val="none"/>
        </w:rPr>
        <w:t>19.2出现影响采购公正的违法、违规行为的；</w:t>
      </w:r>
    </w:p>
    <w:p w14:paraId="09D9C023">
      <w:pPr>
        <w:spacing w:line="500" w:lineRule="exact"/>
        <w:ind w:firstLine="480"/>
        <w:rPr>
          <w:rFonts w:hint="eastAsia" w:ascii="宋体" w:hAnsi="宋体" w:cs="宋体"/>
          <w:sz w:val="24"/>
          <w:highlight w:val="none"/>
        </w:rPr>
      </w:pPr>
      <w:r>
        <w:rPr>
          <w:rFonts w:hint="eastAsia" w:ascii="宋体" w:hAnsi="宋体" w:cs="宋体"/>
          <w:sz w:val="24"/>
          <w:highlight w:val="none"/>
        </w:rPr>
        <w:t>19.3因重大变故，采购任务取消的。</w:t>
      </w:r>
    </w:p>
    <w:p w14:paraId="2EE03D03">
      <w:pPr>
        <w:spacing w:line="520" w:lineRule="exact"/>
        <w:ind w:firstLine="480"/>
        <w:rPr>
          <w:rFonts w:hint="eastAsia" w:ascii="宋体" w:hAnsi="宋体"/>
          <w:sz w:val="24"/>
          <w:highlight w:val="none"/>
        </w:rPr>
      </w:pPr>
      <w:r>
        <w:rPr>
          <w:rFonts w:hint="eastAsia" w:ascii="宋体" w:hAnsi="宋体"/>
          <w:sz w:val="24"/>
          <w:highlight w:val="none"/>
        </w:rPr>
        <w:t>19.4评标委员会认定招标文件存在歧义、重大缺陷导致评审工作无法进行。</w:t>
      </w:r>
    </w:p>
    <w:p w14:paraId="5DA33818">
      <w:pPr>
        <w:spacing w:line="520" w:lineRule="exact"/>
        <w:ind w:firstLine="480"/>
        <w:rPr>
          <w:rFonts w:hint="eastAsia" w:ascii="宋体" w:hAnsi="宋体"/>
          <w:sz w:val="24"/>
          <w:highlight w:val="none"/>
        </w:rPr>
      </w:pPr>
      <w:r>
        <w:rPr>
          <w:rFonts w:hint="eastAsia" w:ascii="宋体" w:hAnsi="宋体"/>
          <w:sz w:val="24"/>
          <w:highlight w:val="none"/>
        </w:rPr>
        <w:t>19.5因苏采云系统故障原因造成开标不成功的。</w:t>
      </w:r>
    </w:p>
    <w:p w14:paraId="0AE74E6F">
      <w:pPr>
        <w:spacing w:line="520" w:lineRule="exact"/>
        <w:ind w:firstLine="480"/>
        <w:rPr>
          <w:rFonts w:hint="eastAsia" w:ascii="宋体" w:hAnsi="宋体"/>
          <w:sz w:val="24"/>
          <w:highlight w:val="none"/>
        </w:rPr>
      </w:pPr>
      <w:r>
        <w:rPr>
          <w:rFonts w:hint="eastAsia" w:ascii="宋体" w:hAnsi="宋体"/>
          <w:sz w:val="24"/>
          <w:highlight w:val="none"/>
        </w:rPr>
        <w:t>19.6投标截止时间结束后参加投标的供应商不足三家的处理：</w:t>
      </w:r>
    </w:p>
    <w:p w14:paraId="54A704B7">
      <w:pPr>
        <w:spacing w:line="520" w:lineRule="exact"/>
        <w:ind w:firstLine="480"/>
        <w:rPr>
          <w:rFonts w:hint="eastAsia" w:ascii="宋体" w:hAnsi="宋体"/>
          <w:sz w:val="24"/>
          <w:highlight w:val="none"/>
        </w:rPr>
      </w:pPr>
      <w:r>
        <w:rPr>
          <w:rFonts w:hint="eastAsia" w:ascii="宋体" w:hAnsi="宋体"/>
          <w:sz w:val="24"/>
          <w:highlight w:val="none"/>
        </w:rPr>
        <w:t>19.7如出现投标截止时间结束后参加投标的供应商或者在评标期间对招标文件做出实质响应的供应商不足三家情况，按政府采购相关规定执行。</w:t>
      </w:r>
    </w:p>
    <w:p w14:paraId="332E23B0">
      <w:pPr>
        <w:spacing w:line="500" w:lineRule="exact"/>
        <w:ind w:firstLine="482"/>
        <w:rPr>
          <w:rFonts w:hint="eastAsia" w:ascii="宋体" w:hAnsi="宋体" w:cs="宋体"/>
          <w:b/>
          <w:sz w:val="24"/>
          <w:highlight w:val="none"/>
        </w:rPr>
      </w:pPr>
      <w:r>
        <w:rPr>
          <w:rFonts w:hint="eastAsia" w:ascii="宋体" w:hAnsi="宋体" w:cs="宋体"/>
          <w:b/>
          <w:sz w:val="24"/>
          <w:highlight w:val="none"/>
        </w:rPr>
        <w:t>20、投标人不足三家情形处理</w:t>
      </w:r>
    </w:p>
    <w:p w14:paraId="37BBE892">
      <w:pPr>
        <w:spacing w:line="500" w:lineRule="exact"/>
        <w:ind w:firstLine="480"/>
        <w:rPr>
          <w:rFonts w:hint="eastAsia" w:ascii="宋体" w:hAnsi="宋体" w:cs="宋体"/>
          <w:sz w:val="24"/>
          <w:highlight w:val="none"/>
        </w:rPr>
      </w:pPr>
      <w:r>
        <w:rPr>
          <w:rFonts w:hint="eastAsia" w:ascii="宋体" w:hAnsi="宋体" w:cs="宋体"/>
          <w:sz w:val="24"/>
          <w:highlight w:val="none"/>
        </w:rPr>
        <w:t>投标截止后投标人不足3家或者通过资格审查或符合性审查的投标人不足3家的，除采购任务取消情形外，按财政部令第87号第四十三条条款进行处理。</w:t>
      </w:r>
    </w:p>
    <w:p w14:paraId="041757E6">
      <w:pPr>
        <w:spacing w:line="500" w:lineRule="exact"/>
        <w:ind w:firstLine="482"/>
        <w:rPr>
          <w:rFonts w:hint="eastAsia" w:ascii="宋体" w:hAnsi="宋体" w:cs="宋体"/>
          <w:b/>
          <w:sz w:val="24"/>
          <w:highlight w:val="none"/>
        </w:rPr>
      </w:pPr>
      <w:r>
        <w:rPr>
          <w:rFonts w:hint="eastAsia" w:ascii="宋体" w:hAnsi="宋体" w:cs="宋体"/>
          <w:b/>
          <w:sz w:val="24"/>
          <w:highlight w:val="none"/>
        </w:rPr>
        <w:t>21、凡有以下情形者，一经查实，取消中标候选人资格条款</w:t>
      </w:r>
    </w:p>
    <w:p w14:paraId="3FAC8CB8">
      <w:pPr>
        <w:spacing w:line="500" w:lineRule="exact"/>
        <w:ind w:firstLine="480"/>
        <w:rPr>
          <w:rFonts w:hint="eastAsia" w:ascii="宋体" w:hAnsi="宋体" w:cs="宋体"/>
          <w:sz w:val="24"/>
          <w:highlight w:val="none"/>
        </w:rPr>
      </w:pPr>
      <w:r>
        <w:rPr>
          <w:rFonts w:hint="eastAsia" w:ascii="宋体" w:hAnsi="宋体" w:cs="宋体"/>
          <w:sz w:val="24"/>
          <w:highlight w:val="none"/>
        </w:rPr>
        <w:t>21.1提供虚假材料谋取中标的；</w:t>
      </w:r>
    </w:p>
    <w:p w14:paraId="619115BB">
      <w:pPr>
        <w:spacing w:line="500" w:lineRule="exact"/>
        <w:ind w:firstLine="480"/>
        <w:rPr>
          <w:rFonts w:hint="eastAsia" w:ascii="宋体" w:hAnsi="宋体" w:cs="宋体"/>
          <w:sz w:val="24"/>
          <w:highlight w:val="none"/>
        </w:rPr>
      </w:pPr>
      <w:r>
        <w:rPr>
          <w:rFonts w:hint="eastAsia" w:ascii="宋体" w:hAnsi="宋体" w:cs="宋体"/>
          <w:sz w:val="24"/>
          <w:highlight w:val="none"/>
        </w:rPr>
        <w:t>21.2采取不正当手段诋毁、排挤其他投标人的；</w:t>
      </w:r>
    </w:p>
    <w:p w14:paraId="46A64AFE">
      <w:pPr>
        <w:spacing w:line="500" w:lineRule="exact"/>
        <w:ind w:firstLine="480"/>
        <w:rPr>
          <w:rFonts w:hint="eastAsia" w:ascii="宋体" w:hAnsi="宋体" w:cs="宋体"/>
          <w:sz w:val="24"/>
          <w:highlight w:val="none"/>
        </w:rPr>
      </w:pPr>
      <w:r>
        <w:rPr>
          <w:rFonts w:hint="eastAsia" w:ascii="宋体" w:hAnsi="宋体" w:cs="宋体"/>
          <w:sz w:val="24"/>
          <w:highlight w:val="none"/>
        </w:rPr>
        <w:t>21.3与采购人、其他投标人或者采购代理机构恶意串通的；</w:t>
      </w:r>
    </w:p>
    <w:p w14:paraId="47280D11">
      <w:pPr>
        <w:spacing w:line="500" w:lineRule="exact"/>
        <w:ind w:firstLine="480"/>
        <w:rPr>
          <w:rFonts w:hint="eastAsia" w:ascii="宋体" w:hAnsi="宋体" w:cs="宋体"/>
          <w:sz w:val="24"/>
          <w:highlight w:val="none"/>
        </w:rPr>
      </w:pPr>
      <w:r>
        <w:rPr>
          <w:rFonts w:hint="eastAsia" w:ascii="宋体" w:hAnsi="宋体" w:cs="宋体"/>
          <w:sz w:val="24"/>
          <w:highlight w:val="none"/>
        </w:rPr>
        <w:t>21.4向采购人、采购代理机构行贿或者提供其他不正当利益的；</w:t>
      </w:r>
    </w:p>
    <w:p w14:paraId="4E7A62F8">
      <w:pPr>
        <w:spacing w:line="500" w:lineRule="exact"/>
        <w:ind w:firstLine="480"/>
        <w:rPr>
          <w:rFonts w:hint="eastAsia" w:ascii="宋体" w:hAnsi="宋体" w:cs="宋体"/>
          <w:sz w:val="24"/>
          <w:highlight w:val="none"/>
        </w:rPr>
      </w:pPr>
      <w:r>
        <w:rPr>
          <w:rFonts w:hint="eastAsia" w:ascii="宋体" w:hAnsi="宋体" w:cs="宋体"/>
          <w:sz w:val="24"/>
          <w:highlight w:val="none"/>
        </w:rPr>
        <w:t>21.5未在规定时间内与采购人签订采购合同的；</w:t>
      </w:r>
    </w:p>
    <w:p w14:paraId="2EF21D25">
      <w:pPr>
        <w:spacing w:line="500" w:lineRule="exact"/>
        <w:ind w:firstLine="480"/>
        <w:rPr>
          <w:rFonts w:hint="eastAsia" w:ascii="宋体" w:hAnsi="宋体" w:cs="宋体"/>
          <w:sz w:val="24"/>
          <w:highlight w:val="none"/>
        </w:rPr>
      </w:pPr>
      <w:r>
        <w:rPr>
          <w:rFonts w:hint="eastAsia" w:ascii="宋体" w:hAnsi="宋体" w:cs="宋体"/>
          <w:sz w:val="24"/>
          <w:highlight w:val="none"/>
        </w:rPr>
        <w:t>21.6法律、法规规定的其它情况。</w:t>
      </w:r>
    </w:p>
    <w:p w14:paraId="4A032142">
      <w:pPr>
        <w:spacing w:line="500" w:lineRule="exact"/>
        <w:ind w:firstLine="482"/>
        <w:rPr>
          <w:rFonts w:hint="eastAsia" w:ascii="宋体" w:hAnsi="宋体" w:cs="宋体"/>
          <w:b/>
          <w:sz w:val="24"/>
          <w:highlight w:val="none"/>
        </w:rPr>
      </w:pPr>
      <w:r>
        <w:rPr>
          <w:rFonts w:hint="eastAsia" w:ascii="宋体" w:hAnsi="宋体" w:cs="宋体"/>
          <w:b/>
          <w:sz w:val="24"/>
          <w:highlight w:val="none"/>
        </w:rPr>
        <w:t>22、恶意串通投标的情形</w:t>
      </w:r>
    </w:p>
    <w:p w14:paraId="19A527D3">
      <w:pPr>
        <w:spacing w:line="500" w:lineRule="exact"/>
        <w:ind w:firstLine="480"/>
        <w:rPr>
          <w:rFonts w:hint="eastAsia" w:ascii="宋体" w:hAnsi="宋体" w:cs="宋体"/>
          <w:sz w:val="24"/>
          <w:highlight w:val="none"/>
        </w:rPr>
      </w:pPr>
      <w:r>
        <w:rPr>
          <w:rFonts w:hint="eastAsia" w:ascii="宋体" w:hAnsi="宋体" w:cs="宋体"/>
          <w:sz w:val="24"/>
          <w:highlight w:val="none"/>
        </w:rPr>
        <w:t>22.1供应商直接或间接从采购人或采购代理机构处获得其他供应商的投标情况，并修改其投标文件；</w:t>
      </w:r>
    </w:p>
    <w:p w14:paraId="5FCDAA0D">
      <w:pPr>
        <w:spacing w:line="500" w:lineRule="exact"/>
        <w:ind w:firstLine="480"/>
        <w:rPr>
          <w:rFonts w:hint="eastAsia" w:ascii="宋体" w:hAnsi="宋体" w:cs="宋体"/>
          <w:sz w:val="24"/>
          <w:highlight w:val="none"/>
        </w:rPr>
      </w:pPr>
      <w:r>
        <w:rPr>
          <w:rFonts w:hint="eastAsia" w:ascii="宋体" w:hAnsi="宋体" w:cs="宋体"/>
          <w:sz w:val="24"/>
          <w:highlight w:val="none"/>
        </w:rPr>
        <w:t>22.2评审活动开始前供应商直接或间接从采购人或采购代理机构处获得评标委员会组成人员情况；</w:t>
      </w:r>
    </w:p>
    <w:p w14:paraId="75ADAF98">
      <w:pPr>
        <w:spacing w:line="500" w:lineRule="exact"/>
        <w:ind w:firstLine="480"/>
        <w:rPr>
          <w:rFonts w:hint="eastAsia" w:ascii="宋体" w:hAnsi="宋体" w:cs="宋体"/>
          <w:sz w:val="24"/>
          <w:highlight w:val="none"/>
        </w:rPr>
      </w:pPr>
      <w:r>
        <w:rPr>
          <w:rFonts w:hint="eastAsia" w:ascii="宋体" w:hAnsi="宋体" w:cs="宋体"/>
          <w:sz w:val="24"/>
          <w:highlight w:val="none"/>
        </w:rPr>
        <w:t>22.3供应商接受采购人或采购代理机构授意撤换、修改投标文件；</w:t>
      </w:r>
    </w:p>
    <w:p w14:paraId="6D2F80E8">
      <w:pPr>
        <w:spacing w:line="500" w:lineRule="exact"/>
        <w:ind w:firstLine="480"/>
        <w:rPr>
          <w:rFonts w:hint="eastAsia" w:ascii="宋体" w:hAnsi="宋体" w:cs="宋体"/>
          <w:sz w:val="24"/>
          <w:highlight w:val="none"/>
        </w:rPr>
      </w:pPr>
      <w:r>
        <w:rPr>
          <w:rFonts w:hint="eastAsia" w:ascii="宋体" w:hAnsi="宋体" w:cs="宋体"/>
          <w:sz w:val="24"/>
          <w:highlight w:val="none"/>
        </w:rPr>
        <w:t>22.4供应商之间协商投标报价、技术方案等投标文件实质性内容；</w:t>
      </w:r>
    </w:p>
    <w:p w14:paraId="05F7F633">
      <w:pPr>
        <w:spacing w:line="500" w:lineRule="exact"/>
        <w:ind w:firstLine="480"/>
        <w:rPr>
          <w:rFonts w:hint="eastAsia" w:ascii="宋体" w:hAnsi="宋体" w:cs="宋体"/>
          <w:sz w:val="24"/>
          <w:highlight w:val="none"/>
        </w:rPr>
      </w:pPr>
      <w:r>
        <w:rPr>
          <w:rFonts w:hint="eastAsia" w:ascii="宋体" w:hAnsi="宋体" w:cs="宋体"/>
          <w:sz w:val="24"/>
          <w:highlight w:val="none"/>
        </w:rPr>
        <w:t>22.5属于同一集团、协会、商会等组织成员的供应商按照该组织要求协同投标；</w:t>
      </w:r>
    </w:p>
    <w:p w14:paraId="3F87A23A">
      <w:pPr>
        <w:spacing w:line="500" w:lineRule="exact"/>
        <w:ind w:firstLine="480"/>
        <w:rPr>
          <w:rFonts w:hint="eastAsia" w:ascii="宋体" w:hAnsi="宋体" w:cs="宋体"/>
          <w:sz w:val="24"/>
          <w:highlight w:val="none"/>
        </w:rPr>
      </w:pPr>
      <w:r>
        <w:rPr>
          <w:rFonts w:hint="eastAsia" w:ascii="宋体" w:hAnsi="宋体" w:cs="宋体"/>
          <w:sz w:val="24"/>
          <w:highlight w:val="none"/>
        </w:rPr>
        <w:t>22.6供应商之间事先约定由某一特定供应商中标、成交；</w:t>
      </w:r>
    </w:p>
    <w:p w14:paraId="626FB599">
      <w:pPr>
        <w:spacing w:line="500" w:lineRule="exact"/>
        <w:ind w:firstLine="480"/>
        <w:rPr>
          <w:rFonts w:hint="eastAsia" w:ascii="宋体" w:hAnsi="宋体" w:cs="宋体"/>
          <w:sz w:val="24"/>
          <w:highlight w:val="none"/>
        </w:rPr>
      </w:pPr>
      <w:r>
        <w:rPr>
          <w:rFonts w:hint="eastAsia" w:ascii="宋体" w:hAnsi="宋体" w:cs="宋体"/>
          <w:sz w:val="24"/>
          <w:highlight w:val="none"/>
        </w:rPr>
        <w:t>22.7供应商之间商定部分供应商放弃投标或者放弃中标、成交；</w:t>
      </w:r>
    </w:p>
    <w:p w14:paraId="3948645F">
      <w:pPr>
        <w:spacing w:line="500" w:lineRule="exact"/>
        <w:ind w:firstLine="480"/>
        <w:rPr>
          <w:rFonts w:hint="eastAsia" w:ascii="宋体" w:hAnsi="宋体" w:cs="宋体"/>
          <w:sz w:val="24"/>
          <w:highlight w:val="none"/>
        </w:rPr>
      </w:pPr>
      <w:r>
        <w:rPr>
          <w:rFonts w:hint="eastAsia" w:ascii="宋体" w:hAnsi="宋体" w:cs="宋体"/>
          <w:sz w:val="24"/>
          <w:highlight w:val="none"/>
        </w:rPr>
        <w:t>22.8供应商与采购人或采购代理机构之间、供应商相互之间为谋求特定供应商中标成交或者排斥其他供应商的其他串通行为；</w:t>
      </w:r>
    </w:p>
    <w:p w14:paraId="59804643">
      <w:pPr>
        <w:spacing w:line="500" w:lineRule="exact"/>
        <w:ind w:firstLine="480"/>
        <w:rPr>
          <w:rFonts w:hint="eastAsia" w:ascii="宋体" w:hAnsi="宋体" w:cs="宋体"/>
          <w:sz w:val="24"/>
          <w:highlight w:val="none"/>
        </w:rPr>
      </w:pPr>
      <w:r>
        <w:rPr>
          <w:rFonts w:hint="eastAsia" w:ascii="宋体" w:hAnsi="宋体" w:cs="宋体"/>
          <w:sz w:val="24"/>
          <w:highlight w:val="none"/>
        </w:rPr>
        <w:t>22.9不同投标人的投标文件由同一单位或者个人编制；</w:t>
      </w:r>
    </w:p>
    <w:p w14:paraId="72F74DB4">
      <w:pPr>
        <w:spacing w:line="500" w:lineRule="exact"/>
        <w:ind w:firstLine="480"/>
        <w:rPr>
          <w:rFonts w:hint="eastAsia" w:ascii="宋体" w:hAnsi="宋体" w:cs="宋体"/>
          <w:sz w:val="24"/>
          <w:highlight w:val="none"/>
        </w:rPr>
      </w:pPr>
      <w:r>
        <w:rPr>
          <w:rFonts w:hint="eastAsia" w:ascii="宋体" w:hAnsi="宋体" w:cs="宋体"/>
          <w:sz w:val="24"/>
          <w:highlight w:val="none"/>
        </w:rPr>
        <w:t>22.10不同投标人委托同一单位或者个人办理投标事宜；</w:t>
      </w:r>
    </w:p>
    <w:p w14:paraId="6E48045F">
      <w:pPr>
        <w:spacing w:line="500" w:lineRule="exact"/>
        <w:ind w:firstLine="480"/>
        <w:rPr>
          <w:rFonts w:hint="eastAsia" w:ascii="宋体" w:hAnsi="宋体" w:cs="宋体"/>
          <w:sz w:val="24"/>
          <w:highlight w:val="none"/>
        </w:rPr>
      </w:pPr>
      <w:r>
        <w:rPr>
          <w:rFonts w:hint="eastAsia" w:ascii="宋体" w:hAnsi="宋体" w:cs="宋体"/>
          <w:sz w:val="24"/>
          <w:highlight w:val="none"/>
        </w:rPr>
        <w:t>22.11不同投标人的投标文件载明的项目管理成员或者联系人员为同一人；</w:t>
      </w:r>
    </w:p>
    <w:p w14:paraId="2DFCE974">
      <w:pPr>
        <w:spacing w:line="500" w:lineRule="exact"/>
        <w:ind w:firstLine="480"/>
        <w:rPr>
          <w:rFonts w:hint="eastAsia" w:ascii="宋体" w:hAnsi="宋体" w:cs="宋体"/>
          <w:sz w:val="24"/>
          <w:highlight w:val="none"/>
        </w:rPr>
      </w:pPr>
      <w:r>
        <w:rPr>
          <w:rFonts w:hint="eastAsia" w:ascii="宋体" w:hAnsi="宋体" w:cs="宋体"/>
          <w:sz w:val="24"/>
          <w:highlight w:val="none"/>
        </w:rPr>
        <w:t>22.12不同投标人的投标文件异常一致或者投标报价呈规律性差异；</w:t>
      </w:r>
    </w:p>
    <w:p w14:paraId="0EA1D583">
      <w:pPr>
        <w:spacing w:line="500" w:lineRule="exact"/>
        <w:ind w:firstLine="480"/>
        <w:rPr>
          <w:rFonts w:hint="eastAsia" w:ascii="宋体" w:hAnsi="宋体" w:cs="宋体"/>
          <w:sz w:val="24"/>
          <w:highlight w:val="none"/>
        </w:rPr>
      </w:pPr>
      <w:r>
        <w:rPr>
          <w:rFonts w:hint="eastAsia" w:ascii="宋体" w:hAnsi="宋体" w:cs="宋体"/>
          <w:sz w:val="24"/>
          <w:highlight w:val="none"/>
        </w:rPr>
        <w:t>22.13不同投标人的投标文件相互混装；</w:t>
      </w:r>
    </w:p>
    <w:p w14:paraId="46E83F8E">
      <w:pPr>
        <w:pStyle w:val="624"/>
        <w:outlineLvl w:val="1"/>
        <w:rPr>
          <w:rFonts w:hint="eastAsia" w:ascii="宋体" w:hAnsi="宋体" w:eastAsia="宋体" w:cs="宋体"/>
          <w:highlight w:val="none"/>
        </w:rPr>
      </w:pPr>
      <w:bookmarkStart w:id="45" w:name="_Toc514054477"/>
      <w:bookmarkStart w:id="46" w:name="_Toc29013"/>
      <w:r>
        <w:rPr>
          <w:rFonts w:hint="eastAsia" w:ascii="宋体" w:hAnsi="宋体" w:eastAsia="宋体" w:cs="宋体"/>
          <w:highlight w:val="none"/>
        </w:rPr>
        <w:t>六、开标、资格审查、评标程序</w:t>
      </w:r>
      <w:bookmarkEnd w:id="45"/>
      <w:bookmarkEnd w:id="46"/>
    </w:p>
    <w:p w14:paraId="58EAFAB1">
      <w:pPr>
        <w:spacing w:line="500" w:lineRule="exact"/>
        <w:ind w:firstLine="482"/>
        <w:rPr>
          <w:rFonts w:hint="eastAsia" w:ascii="宋体" w:hAnsi="宋体" w:cs="宋体"/>
          <w:b/>
          <w:sz w:val="24"/>
          <w:highlight w:val="none"/>
        </w:rPr>
      </w:pPr>
      <w:r>
        <w:rPr>
          <w:rFonts w:hint="eastAsia" w:ascii="宋体" w:hAnsi="宋体" w:cs="宋体"/>
          <w:b/>
          <w:sz w:val="24"/>
          <w:highlight w:val="none"/>
        </w:rPr>
        <w:t>23、开标会议</w:t>
      </w:r>
    </w:p>
    <w:p w14:paraId="5142FAAD">
      <w:pPr>
        <w:spacing w:line="520" w:lineRule="exact"/>
        <w:ind w:firstLine="480"/>
        <w:rPr>
          <w:rFonts w:hint="eastAsia" w:ascii="宋体" w:hAnsi="宋体"/>
          <w:sz w:val="24"/>
          <w:highlight w:val="none"/>
        </w:rPr>
      </w:pPr>
      <w:r>
        <w:rPr>
          <w:rFonts w:hint="eastAsia" w:ascii="宋体" w:hAnsi="宋体"/>
          <w:sz w:val="24"/>
          <w:highlight w:val="none"/>
        </w:rPr>
        <w:t>23.1采购代理机构将在招标公告中规定的时间和地点组织公开开标。投标人应当按照《操作手册》规定，参加开标活动和在苏采云系统规定的时间内对投标文件进行解密。</w:t>
      </w:r>
    </w:p>
    <w:p w14:paraId="441E2DB8">
      <w:pPr>
        <w:spacing w:line="520" w:lineRule="exact"/>
        <w:ind w:firstLine="480"/>
        <w:rPr>
          <w:rFonts w:hint="eastAsia" w:ascii="宋体" w:hAnsi="宋体"/>
          <w:sz w:val="24"/>
          <w:highlight w:val="none"/>
        </w:rPr>
      </w:pPr>
      <w:r>
        <w:rPr>
          <w:rFonts w:hint="eastAsia" w:ascii="宋体" w:hAnsi="宋体"/>
          <w:sz w:val="24"/>
          <w:highlight w:val="none"/>
        </w:rPr>
        <w:t>23.2开标仪式由采购代理机构组织。苏采云系统将自动对项目进行开标，并宣布各投标人名称和投标价格。</w:t>
      </w:r>
    </w:p>
    <w:p w14:paraId="7929D0CF">
      <w:pPr>
        <w:spacing w:line="520" w:lineRule="exact"/>
        <w:ind w:firstLine="480"/>
        <w:rPr>
          <w:rFonts w:hint="eastAsia" w:ascii="宋体" w:hAnsi="宋体"/>
          <w:sz w:val="24"/>
          <w:highlight w:val="none"/>
        </w:rPr>
      </w:pPr>
      <w:r>
        <w:rPr>
          <w:rFonts w:hint="eastAsia" w:ascii="宋体" w:hAnsi="宋体"/>
          <w:sz w:val="24"/>
          <w:highlight w:val="none"/>
        </w:rPr>
        <w:t>23.3投标人在开标过程中涉及到的投标文件解密、开标结果确认等工作，应按照《操作手册》规定执行。</w:t>
      </w:r>
    </w:p>
    <w:p w14:paraId="6D33CF66">
      <w:pPr>
        <w:spacing w:line="520" w:lineRule="exact"/>
        <w:ind w:firstLine="480"/>
        <w:rPr>
          <w:rFonts w:hint="eastAsia" w:ascii="宋体" w:hAnsi="宋体"/>
          <w:sz w:val="24"/>
          <w:highlight w:val="none"/>
        </w:rPr>
      </w:pPr>
      <w:r>
        <w:rPr>
          <w:rFonts w:hint="eastAsia" w:ascii="宋体" w:hAnsi="宋体"/>
          <w:sz w:val="24"/>
          <w:highlight w:val="none"/>
        </w:rPr>
        <w:t>23.4投标人如果对开标过程和开标记录有疑义，应当根据《操作手册》规定提出，如苏采云系统中《开标记录表》宣布后规定时间内未提出的，视同认可开标结果。</w:t>
      </w:r>
    </w:p>
    <w:p w14:paraId="067667E8">
      <w:pPr>
        <w:spacing w:line="500" w:lineRule="exact"/>
        <w:ind w:firstLine="482"/>
        <w:rPr>
          <w:rFonts w:hint="eastAsia" w:ascii="宋体" w:hAnsi="宋体" w:cs="宋体"/>
          <w:b/>
          <w:sz w:val="24"/>
          <w:highlight w:val="none"/>
        </w:rPr>
      </w:pPr>
      <w:r>
        <w:rPr>
          <w:rFonts w:hint="eastAsia" w:ascii="宋体" w:hAnsi="宋体" w:cs="宋体"/>
          <w:b/>
          <w:sz w:val="24"/>
          <w:highlight w:val="none"/>
        </w:rPr>
        <w:t>24、资格审查</w:t>
      </w:r>
    </w:p>
    <w:p w14:paraId="60D02E7E">
      <w:pPr>
        <w:spacing w:line="500" w:lineRule="exact"/>
        <w:ind w:firstLine="480"/>
        <w:rPr>
          <w:rFonts w:hint="eastAsia" w:ascii="宋体" w:hAnsi="宋体" w:cs="宋体"/>
          <w:sz w:val="24"/>
          <w:highlight w:val="none"/>
        </w:rPr>
      </w:pPr>
      <w:bookmarkStart w:id="47" w:name="EBa9c0a2c9e523494487594c65b2a92370"/>
      <w:r>
        <w:rPr>
          <w:rFonts w:hint="eastAsia" w:ascii="宋体" w:hAnsi="宋体" w:cs="宋体"/>
          <w:sz w:val="24"/>
          <w:highlight w:val="none"/>
        </w:rPr>
        <w:t>开标结束后，采购人或经采购人委托的采购代理机构依法据招标文件规定对投标人的资格证明文件等进行审查。</w:t>
      </w:r>
      <w:bookmarkEnd w:id="47"/>
    </w:p>
    <w:p w14:paraId="71B825D2">
      <w:pPr>
        <w:spacing w:line="500" w:lineRule="exact"/>
        <w:ind w:firstLine="482"/>
        <w:rPr>
          <w:rFonts w:hint="eastAsia" w:ascii="宋体" w:hAnsi="宋体" w:cs="宋体"/>
          <w:b/>
          <w:sz w:val="24"/>
          <w:highlight w:val="none"/>
        </w:rPr>
      </w:pPr>
      <w:r>
        <w:rPr>
          <w:rFonts w:hint="eastAsia" w:ascii="宋体" w:hAnsi="宋体" w:cs="宋体"/>
          <w:b/>
          <w:sz w:val="24"/>
          <w:highlight w:val="none"/>
        </w:rPr>
        <w:t>25、评标委员会</w:t>
      </w:r>
    </w:p>
    <w:p w14:paraId="5DF95331">
      <w:pPr>
        <w:spacing w:line="500" w:lineRule="exact"/>
        <w:ind w:firstLine="480"/>
        <w:rPr>
          <w:rFonts w:hint="eastAsia" w:ascii="宋体" w:hAnsi="宋体" w:cs="宋体"/>
          <w:sz w:val="24"/>
          <w:highlight w:val="none"/>
        </w:rPr>
      </w:pPr>
      <w:r>
        <w:rPr>
          <w:rFonts w:hint="eastAsia" w:ascii="宋体" w:hAnsi="宋体" w:cs="宋体"/>
          <w:sz w:val="24"/>
          <w:highlight w:val="none"/>
        </w:rPr>
        <w:t>采购人应根据本项目的特点依法组建评标委员会。评标委员会负责具体评标事务，对资格审查合格的投标人进行评标，并独立履行相关职责。</w:t>
      </w:r>
    </w:p>
    <w:p w14:paraId="01EAF0A0">
      <w:pPr>
        <w:spacing w:line="500" w:lineRule="exact"/>
        <w:ind w:firstLine="482"/>
        <w:rPr>
          <w:rFonts w:hint="eastAsia" w:ascii="宋体" w:hAnsi="宋体" w:cs="宋体"/>
          <w:b/>
          <w:sz w:val="24"/>
          <w:highlight w:val="none"/>
        </w:rPr>
      </w:pPr>
      <w:r>
        <w:rPr>
          <w:rFonts w:hint="eastAsia" w:ascii="宋体" w:hAnsi="宋体" w:cs="宋体"/>
          <w:b/>
          <w:sz w:val="24"/>
          <w:highlight w:val="none"/>
        </w:rPr>
        <w:t>26、评标原则</w:t>
      </w:r>
    </w:p>
    <w:p w14:paraId="696F86E6">
      <w:pPr>
        <w:spacing w:line="500" w:lineRule="exact"/>
        <w:ind w:firstLine="480"/>
        <w:rPr>
          <w:rFonts w:hint="eastAsia" w:ascii="宋体" w:hAnsi="宋体" w:cs="宋体"/>
          <w:sz w:val="24"/>
          <w:highlight w:val="none"/>
        </w:rPr>
      </w:pPr>
      <w:r>
        <w:rPr>
          <w:rFonts w:hint="eastAsia" w:ascii="宋体" w:hAnsi="宋体" w:cs="宋体"/>
          <w:sz w:val="24"/>
          <w:highlight w:val="none"/>
        </w:rPr>
        <w:t>“公平、公正、客观、择优”为评标的基本原则，评标委员会将根据这一原则，公正、平等地对待各投标人。</w:t>
      </w:r>
    </w:p>
    <w:p w14:paraId="40B51D38">
      <w:pPr>
        <w:spacing w:line="500" w:lineRule="exact"/>
        <w:ind w:firstLine="482"/>
        <w:rPr>
          <w:rFonts w:hint="eastAsia" w:ascii="宋体" w:hAnsi="宋体" w:cs="宋体"/>
          <w:b/>
          <w:sz w:val="24"/>
          <w:highlight w:val="none"/>
        </w:rPr>
      </w:pPr>
      <w:r>
        <w:rPr>
          <w:rFonts w:hint="eastAsia" w:ascii="宋体" w:hAnsi="宋体" w:cs="宋体"/>
          <w:b/>
          <w:sz w:val="24"/>
          <w:highlight w:val="none"/>
        </w:rPr>
        <w:t>27、评标过程的保密与公正</w:t>
      </w:r>
    </w:p>
    <w:p w14:paraId="6A961133">
      <w:pPr>
        <w:spacing w:line="500" w:lineRule="exact"/>
        <w:ind w:firstLine="480"/>
        <w:rPr>
          <w:rFonts w:hint="eastAsia" w:ascii="宋体" w:hAnsi="宋体"/>
          <w:sz w:val="24"/>
          <w:highlight w:val="none"/>
        </w:rPr>
      </w:pPr>
      <w:r>
        <w:rPr>
          <w:rFonts w:hint="eastAsia" w:ascii="宋体" w:hAnsi="宋体"/>
          <w:sz w:val="24"/>
          <w:highlight w:val="none"/>
        </w:rPr>
        <w:t>27.1凡是与审查、澄清、评价和比较投标的有关资料以及授标建议等，采购人、评委、采购代理机构均不得向投标人或与评标无关的其他人员透露。</w:t>
      </w:r>
    </w:p>
    <w:p w14:paraId="434FF79D">
      <w:pPr>
        <w:spacing w:line="520" w:lineRule="exact"/>
        <w:ind w:firstLine="480"/>
        <w:rPr>
          <w:rFonts w:hint="eastAsia" w:ascii="宋体" w:hAnsi="宋体"/>
          <w:sz w:val="24"/>
          <w:highlight w:val="none"/>
        </w:rPr>
      </w:pPr>
      <w:r>
        <w:rPr>
          <w:rFonts w:hint="eastAsia" w:ascii="宋体" w:hAnsi="宋体"/>
          <w:sz w:val="24"/>
          <w:highlight w:val="none"/>
        </w:rPr>
        <w:t>27.2在评标过程中，投标人不得以任何行为影响评标过程，否则其投标文件将被作为无效投标文件。</w:t>
      </w:r>
    </w:p>
    <w:p w14:paraId="62C81140">
      <w:pPr>
        <w:spacing w:line="520" w:lineRule="exact"/>
        <w:ind w:firstLine="480"/>
        <w:rPr>
          <w:rFonts w:hint="eastAsia" w:ascii="宋体" w:hAnsi="宋体"/>
          <w:sz w:val="24"/>
          <w:highlight w:val="none"/>
        </w:rPr>
      </w:pPr>
      <w:r>
        <w:rPr>
          <w:rFonts w:hint="eastAsia" w:ascii="宋体" w:hAnsi="宋体"/>
          <w:sz w:val="24"/>
          <w:highlight w:val="none"/>
        </w:rPr>
        <w:t>27.3采购代理机构和评标委员会不向未中标的投标人解释未中标原因，也不公布评标过程中的相关细节。</w:t>
      </w:r>
    </w:p>
    <w:p w14:paraId="25052A26">
      <w:pPr>
        <w:spacing w:line="520" w:lineRule="exact"/>
        <w:ind w:firstLine="480"/>
        <w:rPr>
          <w:highlight w:val="none"/>
        </w:rPr>
      </w:pPr>
      <w:r>
        <w:rPr>
          <w:rFonts w:hint="eastAsia" w:ascii="宋体" w:hAnsi="宋体"/>
          <w:sz w:val="24"/>
          <w:highlight w:val="none"/>
        </w:rPr>
        <w:t>27.4采用综合评分法的项目，未中标的投标人可于中标结果公告期限届满之日起通过苏采云系统查看自己的评审得分及排序情况。</w:t>
      </w:r>
    </w:p>
    <w:p w14:paraId="2BDF5491">
      <w:pPr>
        <w:spacing w:line="500" w:lineRule="exact"/>
        <w:ind w:firstLine="482"/>
        <w:rPr>
          <w:rFonts w:hint="eastAsia" w:ascii="宋体" w:hAnsi="宋体" w:cs="宋体"/>
          <w:b/>
          <w:sz w:val="24"/>
          <w:highlight w:val="none"/>
        </w:rPr>
      </w:pPr>
      <w:r>
        <w:rPr>
          <w:rFonts w:hint="eastAsia" w:ascii="宋体" w:hAnsi="宋体" w:cs="宋体"/>
          <w:b/>
          <w:sz w:val="24"/>
          <w:highlight w:val="none"/>
        </w:rPr>
        <w:t>28、评标程序</w:t>
      </w:r>
    </w:p>
    <w:p w14:paraId="17523EA5">
      <w:pPr>
        <w:spacing w:line="500" w:lineRule="exact"/>
        <w:ind w:firstLine="480"/>
        <w:rPr>
          <w:rFonts w:hint="eastAsia" w:ascii="宋体" w:hAnsi="宋体" w:cs="宋体"/>
          <w:sz w:val="24"/>
          <w:highlight w:val="none"/>
        </w:rPr>
      </w:pPr>
      <w:r>
        <w:rPr>
          <w:rFonts w:hint="eastAsia" w:ascii="宋体" w:hAnsi="宋体" w:cs="宋体"/>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8" w:name="EB48e5ba2667fe4390bf237677a47020dd"/>
      <w:r>
        <w:rPr>
          <w:rFonts w:hint="eastAsia" w:ascii="宋体" w:hAnsi="宋体" w:cs="宋体"/>
          <w:sz w:val="24"/>
          <w:highlight w:val="none"/>
        </w:rPr>
        <w:t>所谓重大偏离是指投标人投标文件中所述设备质量、技术规格、数量、交货期和服务等明显不能满足招标文件要求。</w:t>
      </w:r>
      <w:bookmarkEnd w:id="48"/>
      <w:r>
        <w:rPr>
          <w:rFonts w:hint="eastAsia" w:ascii="宋体" w:hAnsi="宋体" w:cs="宋体"/>
          <w:sz w:val="24"/>
          <w:highlight w:val="none"/>
        </w:rPr>
        <w:t>重大偏离的认定须经评标委员会三分之二以上同意。</w:t>
      </w:r>
    </w:p>
    <w:p w14:paraId="7FFDBC21">
      <w:pPr>
        <w:spacing w:line="500" w:lineRule="exact"/>
        <w:ind w:firstLine="480"/>
        <w:rPr>
          <w:rFonts w:hint="eastAsia" w:ascii="宋体" w:hAnsi="宋体" w:cs="宋体"/>
          <w:sz w:val="24"/>
          <w:highlight w:val="none"/>
        </w:rPr>
      </w:pPr>
      <w:r>
        <w:rPr>
          <w:rFonts w:hint="eastAsia" w:ascii="宋体" w:hAnsi="宋体" w:cs="宋体"/>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132C7881">
      <w:pPr>
        <w:spacing w:line="500" w:lineRule="exact"/>
        <w:ind w:firstLine="480"/>
        <w:rPr>
          <w:rFonts w:hint="eastAsia" w:ascii="宋体" w:hAnsi="宋体" w:cs="宋体"/>
          <w:sz w:val="24"/>
          <w:highlight w:val="none"/>
        </w:rPr>
      </w:pPr>
      <w:r>
        <w:rPr>
          <w:rFonts w:hint="eastAsia" w:ascii="宋体" w:hAnsi="宋体" w:cs="宋体"/>
          <w:sz w:val="24"/>
          <w:highlight w:val="none"/>
        </w:rPr>
        <w:t>28.2澄清有关问题。</w:t>
      </w:r>
    </w:p>
    <w:p w14:paraId="468171A8">
      <w:pPr>
        <w:spacing w:line="500" w:lineRule="exact"/>
        <w:ind w:firstLine="480"/>
        <w:rPr>
          <w:rFonts w:hint="eastAsia" w:ascii="宋体" w:hAnsi="宋体" w:cs="宋体"/>
          <w:sz w:val="24"/>
          <w:highlight w:val="none"/>
        </w:rPr>
      </w:pPr>
      <w:r>
        <w:rPr>
          <w:rFonts w:hint="eastAsia" w:ascii="宋体" w:hAnsi="宋体" w:cs="宋体"/>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AD74345">
      <w:pPr>
        <w:spacing w:line="500" w:lineRule="exact"/>
        <w:ind w:firstLine="480"/>
        <w:rPr>
          <w:rFonts w:hint="eastAsia" w:ascii="宋体" w:hAnsi="宋体" w:cs="宋体"/>
          <w:sz w:val="24"/>
          <w:highlight w:val="none"/>
        </w:rPr>
      </w:pPr>
      <w:r>
        <w:rPr>
          <w:rFonts w:hint="eastAsia" w:ascii="宋体" w:hAnsi="宋体" w:cs="宋体"/>
          <w:sz w:val="24"/>
          <w:highlight w:val="none"/>
        </w:rPr>
        <w:t>评标委员会并非对每个投标人都做澄清要求。</w:t>
      </w:r>
    </w:p>
    <w:p w14:paraId="7D4687FB">
      <w:pPr>
        <w:spacing w:line="500" w:lineRule="exact"/>
        <w:ind w:firstLine="480"/>
        <w:rPr>
          <w:rFonts w:hint="eastAsia" w:ascii="宋体" w:hAnsi="宋体" w:cs="宋体"/>
          <w:sz w:val="24"/>
          <w:highlight w:val="none"/>
        </w:rPr>
      </w:pPr>
      <w:r>
        <w:rPr>
          <w:rFonts w:hint="eastAsia" w:ascii="宋体" w:hAnsi="宋体" w:cs="宋体"/>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EAEF53D">
      <w:pPr>
        <w:spacing w:line="500" w:lineRule="exact"/>
        <w:ind w:firstLine="480"/>
        <w:rPr>
          <w:rFonts w:hint="eastAsia" w:ascii="宋体" w:hAnsi="宋体" w:cs="宋体"/>
          <w:sz w:val="24"/>
          <w:highlight w:val="none"/>
        </w:rPr>
      </w:pPr>
      <w:r>
        <w:rPr>
          <w:rFonts w:hint="eastAsia" w:ascii="宋体" w:hAnsi="宋体" w:cs="宋体"/>
          <w:sz w:val="24"/>
          <w:highlight w:val="none"/>
        </w:rPr>
        <w:t>28.2.3接到评委会澄清、说明和补正要求的投标人如未按规定做出澄清、说明和补正，其风险由投标人自行承担。</w:t>
      </w:r>
    </w:p>
    <w:p w14:paraId="0F3ACC63">
      <w:pPr>
        <w:spacing w:line="500" w:lineRule="exact"/>
        <w:ind w:firstLine="600"/>
        <w:rPr>
          <w:rFonts w:hint="eastAsia" w:ascii="宋体" w:hAnsi="宋体" w:cs="宋体"/>
          <w:sz w:val="24"/>
          <w:highlight w:val="none"/>
        </w:rPr>
      </w:pPr>
      <w:r>
        <w:rPr>
          <w:rFonts w:hint="eastAsia" w:ascii="宋体" w:hAnsi="宋体" w:cs="宋体"/>
          <w:sz w:val="24"/>
          <w:highlight w:val="none"/>
        </w:rPr>
        <w:t>28.2.4投标文件报价出现前后不一致的，除招标文件另有规定外，按照下列规定修正：</w:t>
      </w:r>
    </w:p>
    <w:p w14:paraId="3A5555C5">
      <w:pPr>
        <w:spacing w:line="500" w:lineRule="exact"/>
        <w:ind w:firstLine="480"/>
        <w:rPr>
          <w:rFonts w:hint="eastAsia" w:ascii="宋体" w:hAnsi="宋体" w:cs="宋体"/>
          <w:sz w:val="24"/>
          <w:highlight w:val="none"/>
        </w:rPr>
      </w:pPr>
      <w:r>
        <w:rPr>
          <w:rFonts w:hint="eastAsia" w:ascii="宋体" w:hAnsi="宋体" w:cs="宋体"/>
          <w:sz w:val="24"/>
          <w:highlight w:val="none"/>
        </w:rPr>
        <w:t>①投标文件中开标一览表（报价表）内容与投标文件中相应内容不一致的，以开标一览表（报价表）为准；</w:t>
      </w:r>
    </w:p>
    <w:p w14:paraId="03C0313B">
      <w:pPr>
        <w:spacing w:line="500" w:lineRule="exact"/>
        <w:ind w:firstLine="480"/>
        <w:rPr>
          <w:rFonts w:hint="eastAsia" w:ascii="宋体" w:hAnsi="宋体" w:cs="宋体"/>
          <w:sz w:val="24"/>
          <w:highlight w:val="none"/>
        </w:rPr>
      </w:pPr>
      <w:r>
        <w:rPr>
          <w:rFonts w:hint="eastAsia" w:ascii="宋体" w:hAnsi="宋体" w:cs="宋体"/>
          <w:sz w:val="24"/>
          <w:highlight w:val="none"/>
        </w:rPr>
        <w:t>②大写金额和小写金额不一致的，以大写金额为准；</w:t>
      </w:r>
    </w:p>
    <w:p w14:paraId="1E07ECFE">
      <w:pPr>
        <w:spacing w:line="500" w:lineRule="exact"/>
        <w:ind w:firstLine="480"/>
        <w:rPr>
          <w:rFonts w:hint="eastAsia" w:ascii="宋体" w:hAnsi="宋体" w:cs="宋体"/>
          <w:sz w:val="24"/>
          <w:highlight w:val="none"/>
        </w:rPr>
      </w:pPr>
      <w:r>
        <w:rPr>
          <w:rFonts w:hint="eastAsia" w:ascii="宋体" w:hAnsi="宋体" w:cs="宋体"/>
          <w:sz w:val="24"/>
          <w:highlight w:val="none"/>
        </w:rPr>
        <w:t>③单价金额小数点或者百分比有明显错位的，以开标一览表的总价为准，并修改单价；</w:t>
      </w:r>
    </w:p>
    <w:p w14:paraId="4C9D75BC">
      <w:pPr>
        <w:spacing w:line="500" w:lineRule="exact"/>
        <w:ind w:firstLine="480"/>
        <w:rPr>
          <w:rFonts w:hint="eastAsia" w:ascii="宋体" w:hAnsi="宋体" w:cs="宋体"/>
          <w:sz w:val="24"/>
          <w:highlight w:val="none"/>
        </w:rPr>
      </w:pPr>
      <w:r>
        <w:rPr>
          <w:rFonts w:hint="eastAsia" w:ascii="宋体" w:hAnsi="宋体" w:cs="宋体"/>
          <w:sz w:val="24"/>
          <w:highlight w:val="none"/>
        </w:rPr>
        <w:t>④总价金额与按单价汇总金额不一致的，以单价金额计算结果为准。</w:t>
      </w:r>
    </w:p>
    <w:p w14:paraId="141F8882">
      <w:pPr>
        <w:spacing w:line="500" w:lineRule="exact"/>
        <w:ind w:firstLine="480"/>
        <w:rPr>
          <w:rFonts w:hint="eastAsia" w:ascii="宋体" w:hAnsi="宋体" w:cs="宋体"/>
          <w:sz w:val="24"/>
          <w:highlight w:val="none"/>
        </w:rPr>
      </w:pPr>
      <w:r>
        <w:rPr>
          <w:rFonts w:hint="eastAsia" w:ascii="宋体" w:hAnsi="宋体" w:cs="宋体"/>
          <w:sz w:val="24"/>
          <w:highlight w:val="none"/>
        </w:rPr>
        <w:t>同时出现两种以上不一致的，按照前款规定的顺序修正。修正后的报价，经投标人确认后产生约束力，投标人不确认的，其投标无效。</w:t>
      </w:r>
    </w:p>
    <w:p w14:paraId="34A1C590">
      <w:pPr>
        <w:spacing w:line="500" w:lineRule="exact"/>
        <w:ind w:firstLine="480"/>
        <w:rPr>
          <w:rFonts w:hint="eastAsia" w:ascii="宋体" w:hAnsi="宋体" w:cs="宋体"/>
          <w:sz w:val="24"/>
          <w:highlight w:val="none"/>
        </w:rPr>
      </w:pPr>
      <w:r>
        <w:rPr>
          <w:rFonts w:hint="eastAsia" w:ascii="宋体" w:hAnsi="宋体" w:cs="宋体"/>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FA0DE84">
      <w:pPr>
        <w:spacing w:line="500" w:lineRule="exact"/>
        <w:ind w:firstLine="480"/>
        <w:rPr>
          <w:rFonts w:hint="eastAsia" w:ascii="宋体" w:hAnsi="宋体" w:cs="宋体"/>
          <w:sz w:val="24"/>
          <w:highlight w:val="none"/>
        </w:rPr>
      </w:pPr>
      <w:r>
        <w:rPr>
          <w:rFonts w:hint="eastAsia" w:ascii="宋体" w:hAnsi="宋体" w:cs="宋体"/>
          <w:sz w:val="24"/>
          <w:highlight w:val="none"/>
        </w:rPr>
        <w:t>28.4比较。评标委员会将按招标文件中规定的评标方法和标准，对符合性检查合格的投标文件进行商务和技术评比。</w:t>
      </w:r>
    </w:p>
    <w:p w14:paraId="775BD4BA">
      <w:pPr>
        <w:spacing w:line="500" w:lineRule="exact"/>
        <w:ind w:firstLine="480"/>
        <w:rPr>
          <w:rFonts w:hint="eastAsia" w:ascii="宋体" w:hAnsi="宋体" w:cs="宋体"/>
          <w:sz w:val="24"/>
          <w:highlight w:val="none"/>
        </w:rPr>
      </w:pPr>
      <w:r>
        <w:rPr>
          <w:rFonts w:hint="eastAsia" w:ascii="宋体" w:hAnsi="宋体" w:cs="宋体"/>
          <w:sz w:val="24"/>
          <w:highlight w:val="none"/>
        </w:rPr>
        <w:t>28.5推荐中标候选人。评标委员会按照招标文件中规定的评标方法和标准推荐中标候选人。</w:t>
      </w:r>
      <w:bookmarkStart w:id="49" w:name="EB66024636071342209da8bda483232040"/>
      <w:r>
        <w:rPr>
          <w:rFonts w:hint="eastAsia" w:ascii="宋体" w:hAnsi="宋体" w:cs="宋体"/>
          <w:sz w:val="24"/>
          <w:highlight w:val="none"/>
        </w:rPr>
        <w:t xml:space="preserve"> </w:t>
      </w:r>
      <w:bookmarkEnd w:id="49"/>
    </w:p>
    <w:p w14:paraId="3B3E8D85">
      <w:pPr>
        <w:numPr>
          <w:ilvl w:val="0"/>
          <w:numId w:val="8"/>
        </w:numPr>
        <w:spacing w:line="500" w:lineRule="exact"/>
        <w:ind w:firstLine="482"/>
        <w:rPr>
          <w:rFonts w:hint="eastAsia" w:ascii="宋体" w:hAnsi="宋体" w:cs="宋体"/>
          <w:b/>
          <w:bCs/>
          <w:sz w:val="24"/>
          <w:highlight w:val="none"/>
        </w:rPr>
      </w:pPr>
      <w:bookmarkStart w:id="50" w:name="EBf6bd108017b14bde8ec3ea4804c87c27"/>
      <w:r>
        <w:rPr>
          <w:rFonts w:hint="eastAsia" w:ascii="宋体" w:hAnsi="宋体" w:cs="宋体"/>
          <w:b/>
          <w:bCs/>
          <w:sz w:val="24"/>
          <w:highlight w:val="none"/>
        </w:rPr>
        <w:t>政府采购政策功能落实</w:t>
      </w:r>
    </w:p>
    <w:p w14:paraId="574D9F55">
      <w:pPr>
        <w:spacing w:line="500" w:lineRule="exact"/>
        <w:ind w:firstLine="480"/>
        <w:rPr>
          <w:rFonts w:hint="eastAsia" w:ascii="宋体" w:hAnsi="宋体" w:cs="宋体"/>
          <w:sz w:val="24"/>
          <w:highlight w:val="none"/>
        </w:rPr>
      </w:pPr>
      <w:bookmarkStart w:id="51" w:name="EBd9bc59d5f2ed4fb8a64ee2e373d8cc72"/>
      <w:r>
        <w:rPr>
          <w:rFonts w:hint="eastAsia" w:ascii="宋体" w:hAnsi="宋体" w:cs="宋体"/>
          <w:sz w:val="24"/>
          <w:highlight w:val="none"/>
        </w:rPr>
        <w:t>29.1 政府采购促进中小企业发展，在政府采购活动中，供应商提供的货物、工程或者服务符合下列情形的，享受中小企业扶持政策：</w:t>
      </w:r>
    </w:p>
    <w:p w14:paraId="4A0552A1">
      <w:pPr>
        <w:spacing w:line="500" w:lineRule="exact"/>
        <w:ind w:firstLine="480"/>
        <w:rPr>
          <w:rFonts w:hint="eastAsia" w:ascii="宋体" w:hAnsi="宋体" w:cs="宋体"/>
          <w:sz w:val="24"/>
          <w:highlight w:val="none"/>
        </w:rPr>
      </w:pPr>
      <w:r>
        <w:rPr>
          <w:rFonts w:hint="eastAsia" w:ascii="宋体" w:hAnsi="宋体" w:cs="宋体"/>
          <w:sz w:val="24"/>
          <w:highlight w:val="none"/>
        </w:rPr>
        <w:t>（1）在货物采购项目中，货物由中小企业制造，即货物由中小企业生产且使用该中小企业商号或者注册商标；</w:t>
      </w:r>
    </w:p>
    <w:p w14:paraId="78DEAF16">
      <w:pPr>
        <w:spacing w:line="500" w:lineRule="exact"/>
        <w:ind w:firstLine="480"/>
        <w:rPr>
          <w:rFonts w:hint="eastAsia" w:ascii="宋体" w:hAnsi="宋体" w:cs="宋体"/>
          <w:sz w:val="24"/>
          <w:highlight w:val="none"/>
        </w:rPr>
      </w:pPr>
      <w:r>
        <w:rPr>
          <w:rFonts w:hint="eastAsia" w:ascii="宋体" w:hAnsi="宋体" w:cs="宋体"/>
          <w:sz w:val="24"/>
          <w:highlight w:val="none"/>
        </w:rPr>
        <w:t>（2）在工程采购项目中，工程由中小企业承建，即工程施工单位为中小企业；</w:t>
      </w:r>
    </w:p>
    <w:p w14:paraId="3FE7F91A">
      <w:pPr>
        <w:spacing w:line="500" w:lineRule="exact"/>
        <w:ind w:firstLine="480"/>
        <w:rPr>
          <w:rFonts w:hint="eastAsia" w:ascii="宋体" w:hAnsi="宋体" w:cs="宋体"/>
          <w:sz w:val="24"/>
          <w:highlight w:val="none"/>
        </w:rPr>
      </w:pPr>
      <w:r>
        <w:rPr>
          <w:rFonts w:hint="eastAsia" w:ascii="宋体" w:hAnsi="宋体" w:cs="宋体"/>
          <w:sz w:val="24"/>
          <w:highlight w:val="none"/>
        </w:rPr>
        <w:t>（3）在服务采购项目中，服务由中小企业承接，即提供服务的人员为中小企业依照《中华人民共和国劳动合同法》订立劳动合同的从业人员。</w:t>
      </w:r>
    </w:p>
    <w:p w14:paraId="19913939">
      <w:pPr>
        <w:spacing w:line="500" w:lineRule="exact"/>
        <w:ind w:firstLine="480"/>
        <w:rPr>
          <w:rFonts w:hint="eastAsia"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14:paraId="36A75BA7">
      <w:pPr>
        <w:spacing w:line="500" w:lineRule="exact"/>
        <w:ind w:firstLine="480"/>
        <w:rPr>
          <w:rFonts w:hint="eastAsia" w:ascii="宋体" w:hAnsi="宋体" w:cs="宋体"/>
          <w:sz w:val="24"/>
          <w:highlight w:val="none"/>
        </w:rPr>
      </w:pP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42A113FF">
      <w:pPr>
        <w:spacing w:line="500" w:lineRule="exact"/>
        <w:ind w:firstLine="480"/>
        <w:rPr>
          <w:rFonts w:hint="eastAsia" w:ascii="宋体" w:hAnsi="宋体" w:cs="宋体"/>
          <w:sz w:val="24"/>
          <w:highlight w:val="none"/>
        </w:rPr>
      </w:pPr>
      <w:r>
        <w:rPr>
          <w:rFonts w:hint="eastAsia" w:ascii="宋体" w:hAnsi="宋体" w:cs="宋体"/>
          <w:sz w:val="24"/>
          <w:highlight w:val="none"/>
        </w:rPr>
        <w:t>中小企业供应商参加政府采购活动，应当出具《中小企业声明函》（格式见后附件），否则不得享受相关中小企业扶持政策。</w:t>
      </w:r>
    </w:p>
    <w:p w14:paraId="0FABDC28">
      <w:pPr>
        <w:spacing w:line="500" w:lineRule="exact"/>
        <w:ind w:firstLine="480"/>
        <w:rPr>
          <w:rFonts w:hint="eastAsia" w:ascii="宋体" w:hAnsi="宋体" w:cs="宋体"/>
          <w:sz w:val="24"/>
          <w:highlight w:val="none"/>
        </w:rPr>
      </w:pPr>
      <w:r>
        <w:rPr>
          <w:rFonts w:hint="eastAsia" w:ascii="宋体" w:hAnsi="宋体" w:cs="宋体"/>
          <w:sz w:val="24"/>
          <w:highlight w:val="none"/>
        </w:rPr>
        <w:t>中小企业，是指在中华人民共和国境内依法设立，依据国务院批准的中小企业划分标准（详见《关于印发中小企业划型标准规定的通知》</w:t>
      </w:r>
    </w:p>
    <w:p w14:paraId="04DEB9BE">
      <w:pPr>
        <w:spacing w:line="500" w:lineRule="exact"/>
        <w:ind w:firstLine="480"/>
        <w:rPr>
          <w:rFonts w:hint="eastAsia" w:ascii="宋体" w:hAnsi="宋体" w:cs="宋体"/>
          <w:sz w:val="24"/>
          <w:highlight w:val="none"/>
        </w:rPr>
      </w:pPr>
      <w:r>
        <w:rPr>
          <w:rFonts w:hint="eastAsia" w:ascii="宋体" w:hAnsi="宋体" w:cs="宋体"/>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683DEF9">
      <w:pPr>
        <w:spacing w:line="500" w:lineRule="exact"/>
        <w:ind w:firstLine="480"/>
        <w:rPr>
          <w:rFonts w:hint="eastAsia" w:ascii="宋体" w:hAnsi="宋体" w:cs="宋体"/>
          <w:sz w:val="24"/>
          <w:highlight w:val="none"/>
        </w:rPr>
      </w:pPr>
      <w:r>
        <w:rPr>
          <w:rFonts w:hint="eastAsia" w:ascii="宋体" w:hAnsi="宋体" w:cs="宋体"/>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0318D46">
      <w:pPr>
        <w:spacing w:line="500" w:lineRule="exact"/>
        <w:ind w:firstLine="480"/>
        <w:rPr>
          <w:rFonts w:hint="eastAsia" w:ascii="宋体" w:hAnsi="宋体" w:cs="宋体"/>
          <w:sz w:val="24"/>
          <w:highlight w:val="none"/>
        </w:rPr>
      </w:pPr>
      <w:r>
        <w:rPr>
          <w:rFonts w:hint="eastAsia" w:ascii="宋体" w:hAnsi="宋体" w:cs="宋体"/>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367D5971">
      <w:pPr>
        <w:spacing w:line="500" w:lineRule="exact"/>
        <w:ind w:firstLine="480"/>
        <w:rPr>
          <w:rFonts w:hint="eastAsia" w:ascii="宋体" w:hAnsi="宋体" w:cs="宋体"/>
          <w:sz w:val="24"/>
          <w:highlight w:val="none"/>
        </w:rPr>
      </w:pPr>
      <w:r>
        <w:rPr>
          <w:rFonts w:hint="eastAsia" w:ascii="宋体" w:hAnsi="宋体" w:cs="宋体"/>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D8D0D34">
      <w:pPr>
        <w:spacing w:line="500" w:lineRule="exact"/>
        <w:ind w:firstLine="480"/>
        <w:rPr>
          <w:rFonts w:hint="eastAsia" w:ascii="宋体" w:hAnsi="宋体" w:cs="宋体"/>
          <w:sz w:val="24"/>
          <w:highlight w:val="none"/>
        </w:rPr>
      </w:pPr>
      <w:r>
        <w:rPr>
          <w:rFonts w:hint="eastAsia" w:ascii="宋体" w:hAnsi="宋体" w:cs="宋体"/>
          <w:sz w:val="24"/>
          <w:highlight w:val="none"/>
        </w:rPr>
        <w:t>29.5 提供的产品属于信息安全产品的，供应商应当选择经国家认证的信息安全产品投标，并提供由中国网络安全审查技术与认证中心按国家标准认证颁发的有效认证证书复印件。</w:t>
      </w:r>
    </w:p>
    <w:p w14:paraId="45C5AABD">
      <w:pPr>
        <w:spacing w:line="500" w:lineRule="exact"/>
        <w:ind w:firstLine="480"/>
        <w:rPr>
          <w:rFonts w:hint="eastAsia" w:ascii="宋体" w:hAnsi="宋体" w:cs="宋体"/>
          <w:sz w:val="24"/>
          <w:highlight w:val="none"/>
        </w:rPr>
      </w:pPr>
      <w:r>
        <w:rPr>
          <w:rFonts w:hint="eastAsia" w:ascii="宋体" w:hAnsi="宋体" w:cs="宋体"/>
          <w:sz w:val="24"/>
          <w:highlight w:val="none"/>
        </w:rPr>
        <w:t>29.6 提供的产品属于政府强制采购节能产品的，供应商应当选择依据国家标准中二级能效（水效）指标认证的节能产品投标，并提供有效的节能产品认证证书复印件。</w:t>
      </w:r>
    </w:p>
    <w:p w14:paraId="6AF3DBA3">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29.7提供的产品属于环境标志产品的,供应商应当选择依据相关标准的最新版本认证的环境标志产品投标,并提供有效的环境标志产品认证证书复印件。 </w:t>
      </w:r>
      <w:bookmarkEnd w:id="51"/>
    </w:p>
    <w:p w14:paraId="63D43461">
      <w:pPr>
        <w:spacing w:line="500" w:lineRule="exact"/>
        <w:ind w:firstLine="480"/>
        <w:rPr>
          <w:rFonts w:hint="eastAsia" w:ascii="宋体" w:hAnsi="宋体" w:cs="宋体"/>
          <w:sz w:val="24"/>
          <w:highlight w:val="none"/>
        </w:rPr>
      </w:pPr>
      <w:r>
        <w:rPr>
          <w:rFonts w:hint="eastAsia" w:ascii="宋体" w:hAnsi="宋体" w:cs="宋体"/>
          <w:sz w:val="24"/>
          <w:highlight w:val="none"/>
        </w:rPr>
        <w:t>29.8进口产品政策</w:t>
      </w:r>
    </w:p>
    <w:p w14:paraId="4282D2A7">
      <w:pPr>
        <w:spacing w:line="500" w:lineRule="exact"/>
        <w:ind w:firstLine="240"/>
        <w:rPr>
          <w:rFonts w:hint="eastAsia" w:ascii="宋体" w:hAnsi="宋体" w:cs="宋体"/>
          <w:sz w:val="24"/>
          <w:highlight w:val="none"/>
        </w:rPr>
      </w:pPr>
      <w:r>
        <w:rPr>
          <w:rFonts w:hint="eastAsia" w:ascii="宋体" w:hAnsi="宋体" w:cs="宋体"/>
          <w:sz w:val="24"/>
          <w:highlight w:val="none"/>
        </w:rPr>
        <w:t>（1）除招标公告载明接受进口产品参加外，不允许进口产品参加。进口产品认定依照《财政部关于政府采购进口产品管理有关问题的通知》（财办库〔2008〕248号）的规定。</w:t>
      </w:r>
    </w:p>
    <w:p w14:paraId="1880CDBF">
      <w:pPr>
        <w:spacing w:line="500" w:lineRule="exact"/>
        <w:ind w:firstLine="240"/>
        <w:rPr>
          <w:rFonts w:hint="eastAsia" w:ascii="宋体" w:hAnsi="宋体" w:cs="宋体"/>
          <w:sz w:val="24"/>
          <w:highlight w:val="none"/>
        </w:rPr>
      </w:pPr>
      <w:r>
        <w:rPr>
          <w:rFonts w:hint="eastAsia" w:ascii="宋体" w:hAnsi="宋体" w:cs="宋体"/>
          <w:sz w:val="24"/>
          <w:highlight w:val="none"/>
        </w:rPr>
        <w:t>（2）允许进口产品参加的，满足需求的国内产品可以参加。</w:t>
      </w:r>
    </w:p>
    <w:p w14:paraId="6038A59D">
      <w:pPr>
        <w:spacing w:line="500" w:lineRule="exact"/>
        <w:ind w:firstLine="240"/>
        <w:rPr>
          <w:rFonts w:hint="eastAsia" w:ascii="宋体" w:hAnsi="宋体" w:cs="宋体"/>
          <w:sz w:val="24"/>
          <w:highlight w:val="none"/>
        </w:rPr>
      </w:pPr>
      <w:r>
        <w:rPr>
          <w:rFonts w:hint="eastAsia" w:ascii="宋体" w:hAnsi="宋体" w:cs="宋体"/>
          <w:sz w:val="24"/>
          <w:highlight w:val="none"/>
        </w:rPr>
        <w:t>（3）允许进口产品参加的，优先采购向我国企业转让技术、与我国企业签订消化吸收再创新方案的供应商的进口产品。</w:t>
      </w:r>
    </w:p>
    <w:p w14:paraId="4A830D59">
      <w:pPr>
        <w:spacing w:line="500" w:lineRule="exact"/>
        <w:ind w:firstLine="480"/>
        <w:rPr>
          <w:rFonts w:hint="eastAsia" w:ascii="宋体" w:hAnsi="宋体" w:cs="宋体"/>
          <w:sz w:val="24"/>
          <w:highlight w:val="none"/>
        </w:rPr>
      </w:pPr>
      <w:r>
        <w:rPr>
          <w:rFonts w:hint="eastAsia" w:ascii="宋体" w:hAnsi="宋体" w:cs="宋体"/>
          <w:sz w:val="24"/>
          <w:highlight w:val="none"/>
        </w:rPr>
        <w:t>29.9落实政府采购《商品包装政府采购需求标准(试行)》、《快递包装政府采购需求标准（试行）》（财办库〔2020〕123号〕、《绿色数据中心政府采购需求标准（试行）》（财库〔2023]7号）等需求标准。</w:t>
      </w:r>
    </w:p>
    <w:p w14:paraId="7260A216">
      <w:pPr>
        <w:spacing w:line="500" w:lineRule="exact"/>
        <w:ind w:firstLine="480"/>
        <w:rPr>
          <w:rFonts w:hint="eastAsia" w:ascii="宋体" w:hAnsi="宋体" w:cs="宋体"/>
          <w:sz w:val="24"/>
          <w:highlight w:val="none"/>
        </w:rPr>
      </w:pPr>
      <w:r>
        <w:rPr>
          <w:rFonts w:hint="eastAsia" w:ascii="宋体" w:hAnsi="宋体" w:cs="宋体"/>
          <w:sz w:val="24"/>
          <w:highlight w:val="none"/>
        </w:rPr>
        <w:t>29.9.1 商品包装环保要求：应当按《关于印发〈商品包装政府采购需求标准（试行）〉、〈快递包装政府采购需求标准（试行）〉的通知》（财办库〔2020〕123号）文件执行。</w:t>
      </w:r>
    </w:p>
    <w:p w14:paraId="209DA462">
      <w:pPr>
        <w:spacing w:line="500" w:lineRule="exact"/>
        <w:ind w:firstLine="480"/>
        <w:rPr>
          <w:rFonts w:hint="eastAsia" w:ascii="宋体" w:hAnsi="宋体" w:cs="宋体"/>
          <w:sz w:val="24"/>
          <w:highlight w:val="none"/>
        </w:rPr>
      </w:pPr>
      <w:r>
        <w:rPr>
          <w:rFonts w:hint="eastAsia" w:ascii="宋体" w:hAnsi="宋体" w:cs="宋体"/>
          <w:sz w:val="24"/>
          <w:highlight w:val="none"/>
        </w:rPr>
        <w:t>（1）商品包装层数不得超过3层，空隙率不大于40%；</w:t>
      </w:r>
    </w:p>
    <w:p w14:paraId="27CFC637">
      <w:pPr>
        <w:spacing w:line="500" w:lineRule="exact"/>
        <w:ind w:firstLine="480"/>
        <w:rPr>
          <w:rFonts w:hint="eastAsia" w:ascii="宋体" w:hAnsi="宋体" w:cs="宋体"/>
          <w:sz w:val="24"/>
          <w:highlight w:val="none"/>
        </w:rPr>
      </w:pPr>
      <w:r>
        <w:rPr>
          <w:rFonts w:hint="eastAsia" w:ascii="宋体" w:hAnsi="宋体" w:cs="宋体"/>
          <w:sz w:val="24"/>
          <w:highlight w:val="none"/>
        </w:rPr>
        <w:t>（2）商品包装尽可能使用单一材质的包装材料，如因功能需求必需使用不同材质，不同材质间应便于分离；</w:t>
      </w:r>
    </w:p>
    <w:p w14:paraId="08AEE281">
      <w:pPr>
        <w:spacing w:line="500" w:lineRule="exact"/>
        <w:ind w:firstLine="480"/>
        <w:rPr>
          <w:rFonts w:hint="eastAsia" w:ascii="宋体" w:hAnsi="宋体" w:cs="宋体"/>
          <w:sz w:val="24"/>
          <w:highlight w:val="none"/>
        </w:rPr>
      </w:pPr>
      <w:r>
        <w:rPr>
          <w:rFonts w:hint="eastAsia" w:ascii="宋体" w:hAnsi="宋体" w:cs="宋体"/>
          <w:sz w:val="24"/>
          <w:highlight w:val="none"/>
        </w:rPr>
        <w:t>（3）商品包装中铅、汞、镉、六价铬的总含量应不大于100mg/kg；</w:t>
      </w:r>
    </w:p>
    <w:p w14:paraId="1F4A2030">
      <w:pPr>
        <w:spacing w:line="500" w:lineRule="exact"/>
        <w:ind w:firstLine="480"/>
        <w:rPr>
          <w:rFonts w:hint="eastAsia" w:ascii="宋体" w:hAnsi="宋体" w:cs="宋体"/>
          <w:sz w:val="24"/>
          <w:highlight w:val="none"/>
        </w:rPr>
      </w:pPr>
      <w:r>
        <w:rPr>
          <w:rFonts w:hint="eastAsia" w:ascii="宋体" w:hAnsi="宋体" w:cs="宋体"/>
          <w:sz w:val="24"/>
          <w:highlight w:val="none"/>
        </w:rPr>
        <w:t>（4）商品包装印刷使用的油墨中挥发性有机化合物(VOCs)含量应不大于 5%（以重量计）；</w:t>
      </w:r>
    </w:p>
    <w:p w14:paraId="7D303F96">
      <w:pPr>
        <w:spacing w:line="500" w:lineRule="exact"/>
        <w:ind w:firstLine="480"/>
        <w:rPr>
          <w:rFonts w:hint="eastAsia" w:ascii="宋体" w:hAnsi="宋体" w:cs="宋体"/>
          <w:sz w:val="24"/>
          <w:highlight w:val="none"/>
        </w:rPr>
      </w:pPr>
      <w:r>
        <w:rPr>
          <w:rFonts w:hint="eastAsia" w:ascii="宋体" w:hAnsi="宋体" w:cs="宋体"/>
          <w:sz w:val="24"/>
          <w:highlight w:val="none"/>
        </w:rPr>
        <w:t>（5）塑料材质商品包装上呈现的印刷颜色不得超过 6 色；</w:t>
      </w:r>
    </w:p>
    <w:p w14:paraId="466D78A4">
      <w:pPr>
        <w:spacing w:line="500" w:lineRule="exact"/>
        <w:ind w:firstLine="480"/>
        <w:rPr>
          <w:rFonts w:hint="eastAsia" w:ascii="宋体" w:hAnsi="宋体" w:cs="宋体"/>
          <w:sz w:val="24"/>
          <w:highlight w:val="none"/>
        </w:rPr>
      </w:pPr>
      <w:r>
        <w:rPr>
          <w:rFonts w:hint="eastAsia" w:ascii="宋体" w:hAnsi="宋体" w:cs="宋体"/>
          <w:sz w:val="24"/>
          <w:highlight w:val="none"/>
        </w:rPr>
        <w:t>（6）纸质商品包装应使用 75%以上的可再生纤维原料生产；</w:t>
      </w:r>
    </w:p>
    <w:p w14:paraId="2D65AA66">
      <w:pPr>
        <w:spacing w:line="500" w:lineRule="exact"/>
        <w:ind w:firstLine="480"/>
        <w:rPr>
          <w:rFonts w:hint="eastAsia" w:ascii="宋体" w:hAnsi="宋体" w:cs="宋体"/>
          <w:sz w:val="24"/>
          <w:highlight w:val="none"/>
        </w:rPr>
      </w:pPr>
      <w:r>
        <w:rPr>
          <w:rFonts w:hint="eastAsia" w:ascii="宋体" w:hAnsi="宋体" w:cs="宋体"/>
          <w:sz w:val="24"/>
          <w:highlight w:val="none"/>
        </w:rPr>
        <w:t>（7）木质商品包装的原料应来源于可持续性森林。</w:t>
      </w:r>
    </w:p>
    <w:p w14:paraId="7543B4C9">
      <w:pPr>
        <w:spacing w:line="500" w:lineRule="exact"/>
        <w:ind w:firstLine="480"/>
        <w:rPr>
          <w:rFonts w:hint="eastAsia" w:ascii="宋体" w:hAnsi="宋体" w:cs="宋体"/>
          <w:sz w:val="24"/>
          <w:highlight w:val="none"/>
        </w:rPr>
      </w:pPr>
      <w:r>
        <w:rPr>
          <w:rFonts w:hint="eastAsia" w:ascii="宋体" w:hAnsi="宋体" w:cs="宋体"/>
          <w:sz w:val="24"/>
          <w:highlight w:val="none"/>
        </w:rPr>
        <w:t>29.9.2 快递包装环保要求：</w:t>
      </w:r>
    </w:p>
    <w:p w14:paraId="067269FF">
      <w:pPr>
        <w:spacing w:line="500" w:lineRule="exact"/>
        <w:ind w:firstLine="480"/>
        <w:rPr>
          <w:rFonts w:hint="eastAsia" w:ascii="宋体" w:hAnsi="宋体" w:cs="宋体"/>
          <w:sz w:val="24"/>
          <w:highlight w:val="none"/>
        </w:rPr>
      </w:pPr>
      <w:r>
        <w:rPr>
          <w:rFonts w:hint="eastAsia" w:ascii="宋体" w:hAnsi="宋体" w:cs="宋体"/>
          <w:sz w:val="24"/>
          <w:highlight w:val="none"/>
        </w:rPr>
        <w:t>（1）快递包装中重金属（铅、汞、镉、六价铬）总量应不大于 100mg/kg；</w:t>
      </w:r>
    </w:p>
    <w:p w14:paraId="7AE6A622">
      <w:pPr>
        <w:spacing w:line="500" w:lineRule="exact"/>
        <w:ind w:firstLine="480"/>
        <w:rPr>
          <w:rFonts w:hint="eastAsia" w:ascii="宋体" w:hAnsi="宋体" w:cs="宋体"/>
          <w:sz w:val="24"/>
          <w:highlight w:val="none"/>
        </w:rPr>
      </w:pPr>
      <w:r>
        <w:rPr>
          <w:rFonts w:hint="eastAsia" w:ascii="宋体" w:hAnsi="宋体" w:cs="宋体"/>
          <w:sz w:val="24"/>
          <w:highlight w:val="none"/>
        </w:rPr>
        <w:t>（2）快递包装印刷使用的油墨中不应添加邻苯二甲酸酯，其挥发性有机化合物(VOCs)含量应不大于5%（以重量计）；</w:t>
      </w:r>
    </w:p>
    <w:p w14:paraId="112DAE32">
      <w:pPr>
        <w:spacing w:line="500" w:lineRule="exact"/>
        <w:ind w:firstLine="480"/>
        <w:rPr>
          <w:rFonts w:hint="eastAsia" w:ascii="宋体" w:hAnsi="宋体" w:cs="宋体"/>
          <w:sz w:val="24"/>
          <w:highlight w:val="none"/>
        </w:rPr>
      </w:pPr>
      <w:r>
        <w:rPr>
          <w:rFonts w:hint="eastAsia" w:ascii="宋体" w:hAnsi="宋体" w:cs="宋体"/>
          <w:sz w:val="24"/>
          <w:highlight w:val="none"/>
        </w:rPr>
        <w:t>（3）快递包装中使用纸基材的包装材料，纸基材中的有机氯的含量应不大于 150 mg/kg；</w:t>
      </w:r>
    </w:p>
    <w:p w14:paraId="1418BFB2">
      <w:pPr>
        <w:spacing w:line="500" w:lineRule="exact"/>
        <w:ind w:firstLine="480"/>
        <w:rPr>
          <w:rFonts w:hint="eastAsia" w:ascii="宋体" w:hAnsi="宋体" w:cs="宋体"/>
          <w:sz w:val="24"/>
          <w:highlight w:val="none"/>
        </w:rPr>
      </w:pPr>
      <w:r>
        <w:rPr>
          <w:rFonts w:hint="eastAsia" w:ascii="宋体" w:hAnsi="宋体" w:cs="宋体"/>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7FF13BC0">
      <w:pPr>
        <w:spacing w:line="500" w:lineRule="exact"/>
        <w:ind w:firstLine="480"/>
        <w:rPr>
          <w:rFonts w:hint="eastAsia" w:ascii="宋体" w:hAnsi="宋体" w:cs="宋体"/>
          <w:sz w:val="24"/>
          <w:highlight w:val="none"/>
        </w:rPr>
      </w:pPr>
      <w:r>
        <w:rPr>
          <w:rFonts w:hint="eastAsia" w:ascii="宋体" w:hAnsi="宋体" w:cs="宋体"/>
          <w:sz w:val="24"/>
          <w:highlight w:val="none"/>
        </w:rPr>
        <w:t>（5）快递中使用的塑料包装袋不得使用聚氯乙烯作为原料，且原料应为单一材质制成，生物分解率大于60%；</w:t>
      </w:r>
    </w:p>
    <w:p w14:paraId="3D406FDB">
      <w:pPr>
        <w:spacing w:line="500" w:lineRule="exact"/>
        <w:ind w:firstLine="480"/>
        <w:rPr>
          <w:rFonts w:hint="eastAsia" w:ascii="宋体" w:hAnsi="宋体" w:cs="宋体"/>
          <w:sz w:val="24"/>
          <w:highlight w:val="none"/>
        </w:rPr>
      </w:pPr>
      <w:r>
        <w:rPr>
          <w:rFonts w:hint="eastAsia" w:ascii="宋体" w:hAnsi="宋体" w:cs="宋体"/>
          <w:sz w:val="24"/>
          <w:highlight w:val="none"/>
        </w:rPr>
        <w:t>（6）快递中使用的充气类填充物不得使用聚氯乙烯作为 原料，且原料为单一材质制成，生物分解率大于60%；</w:t>
      </w:r>
    </w:p>
    <w:p w14:paraId="1D50741F">
      <w:pPr>
        <w:spacing w:line="500" w:lineRule="exact"/>
        <w:ind w:firstLine="480"/>
        <w:rPr>
          <w:rFonts w:hint="eastAsia" w:ascii="宋体" w:hAnsi="宋体" w:cs="宋体"/>
          <w:sz w:val="24"/>
          <w:highlight w:val="none"/>
        </w:rPr>
      </w:pPr>
      <w:r>
        <w:rPr>
          <w:rFonts w:hint="eastAsia" w:ascii="宋体" w:hAnsi="宋体" w:cs="宋体"/>
          <w:sz w:val="24"/>
          <w:highlight w:val="none"/>
        </w:rPr>
        <w:t>（7）快递中使用的集装袋应为单一材质制成，其重复使用次数应不小于 80 次；</w:t>
      </w:r>
    </w:p>
    <w:p w14:paraId="0B572636">
      <w:pPr>
        <w:spacing w:line="500" w:lineRule="exact"/>
        <w:ind w:firstLine="480"/>
        <w:rPr>
          <w:rFonts w:hint="eastAsia" w:ascii="宋体" w:hAnsi="宋体" w:cs="宋体"/>
          <w:sz w:val="24"/>
          <w:highlight w:val="none"/>
        </w:rPr>
      </w:pPr>
      <w:r>
        <w:rPr>
          <w:rFonts w:hint="eastAsia" w:ascii="宋体" w:hAnsi="宋体" w:cs="宋体"/>
          <w:sz w:val="24"/>
          <w:highlight w:val="none"/>
        </w:rPr>
        <w:t>（8）快递中应使用幅宽不大于45mm 的生物降解胶带；</w:t>
      </w:r>
    </w:p>
    <w:p w14:paraId="27DA22B4">
      <w:pPr>
        <w:spacing w:line="500" w:lineRule="exact"/>
        <w:ind w:firstLine="480"/>
        <w:rPr>
          <w:rFonts w:hint="eastAsia" w:ascii="宋体" w:hAnsi="宋体" w:cs="宋体"/>
          <w:sz w:val="24"/>
          <w:highlight w:val="none"/>
        </w:rPr>
      </w:pPr>
      <w:r>
        <w:rPr>
          <w:rFonts w:hint="eastAsia" w:ascii="宋体" w:hAnsi="宋体" w:cs="宋体"/>
          <w:sz w:val="24"/>
          <w:highlight w:val="none"/>
        </w:rPr>
        <w:t>（9）快递包装中不得使用溶剂型胶粘剂；</w:t>
      </w:r>
    </w:p>
    <w:p w14:paraId="1A499D5D">
      <w:pPr>
        <w:spacing w:line="500" w:lineRule="exact"/>
        <w:ind w:firstLine="480"/>
        <w:rPr>
          <w:rFonts w:hint="eastAsia" w:ascii="宋体" w:hAnsi="宋体" w:cs="宋体"/>
          <w:sz w:val="24"/>
          <w:highlight w:val="none"/>
        </w:rPr>
      </w:pPr>
      <w:r>
        <w:rPr>
          <w:rFonts w:hint="eastAsia" w:ascii="宋体" w:hAnsi="宋体" w:cs="宋体"/>
          <w:sz w:val="24"/>
          <w:highlight w:val="none"/>
        </w:rPr>
        <w:t>（11）快递应使用电子面单；</w:t>
      </w:r>
    </w:p>
    <w:p w14:paraId="4AD82089">
      <w:pPr>
        <w:spacing w:line="500" w:lineRule="exact"/>
        <w:ind w:firstLine="480"/>
        <w:rPr>
          <w:rFonts w:hint="eastAsia" w:ascii="宋体" w:hAnsi="宋体" w:cs="宋体"/>
          <w:sz w:val="24"/>
          <w:highlight w:val="none"/>
        </w:rPr>
      </w:pPr>
      <w:r>
        <w:rPr>
          <w:rFonts w:hint="eastAsia" w:ascii="宋体" w:hAnsi="宋体" w:cs="宋体"/>
          <w:sz w:val="24"/>
          <w:highlight w:val="none"/>
        </w:rPr>
        <w:t>（12）直接使用商品包装作为快递包装的商品，其商品包装满足《商品包装政府采购需求标准（试行）》即可；</w:t>
      </w:r>
    </w:p>
    <w:p w14:paraId="73D994F1">
      <w:pPr>
        <w:spacing w:line="500" w:lineRule="exact"/>
        <w:ind w:firstLine="480"/>
        <w:rPr>
          <w:rFonts w:hint="eastAsia" w:ascii="宋体" w:hAnsi="宋体" w:cs="宋体"/>
          <w:sz w:val="24"/>
          <w:highlight w:val="none"/>
        </w:rPr>
      </w:pPr>
      <w:r>
        <w:rPr>
          <w:rFonts w:hint="eastAsia" w:ascii="宋体" w:hAnsi="宋体" w:cs="宋体"/>
          <w:sz w:val="24"/>
          <w:highlight w:val="none"/>
        </w:rPr>
        <w:t>（13）快递包装产品质量和封装方式应符合相关国家或行业标准技术指标要求。</w:t>
      </w:r>
    </w:p>
    <w:p w14:paraId="2CD8C6A5">
      <w:pPr>
        <w:spacing w:line="500" w:lineRule="exact"/>
        <w:ind w:firstLine="480"/>
        <w:rPr>
          <w:rFonts w:hint="eastAsia" w:ascii="宋体" w:hAnsi="宋体" w:cs="宋体"/>
          <w:sz w:val="24"/>
          <w:highlight w:val="none"/>
        </w:rPr>
      </w:pPr>
      <w:r>
        <w:rPr>
          <w:rFonts w:hint="eastAsia" w:ascii="宋体" w:hAnsi="宋体" w:cs="宋体"/>
          <w:sz w:val="24"/>
          <w:highlight w:val="none"/>
        </w:rPr>
        <w:t>29.10 绿色低碳管理目标和服务要求：在物业、合同能源管理等服务类采购项目需求中，要强化绿色低碳管理目标和服务要求，促进绿色产品和服务推广应用。</w:t>
      </w:r>
    </w:p>
    <w:p w14:paraId="012F45BD">
      <w:pPr>
        <w:spacing w:line="500" w:lineRule="exact"/>
        <w:ind w:firstLine="480"/>
        <w:rPr>
          <w:rFonts w:hint="eastAsia" w:ascii="宋体" w:hAnsi="宋体" w:cs="宋体"/>
          <w:sz w:val="24"/>
          <w:highlight w:val="none"/>
        </w:rPr>
      </w:pPr>
      <w:r>
        <w:rPr>
          <w:rFonts w:hint="eastAsia" w:ascii="宋体" w:hAnsi="宋体" w:cs="宋体"/>
          <w:sz w:val="24"/>
          <w:highlight w:val="none"/>
        </w:rPr>
        <w:t>29.11低挥发性有机化合物产品：</w:t>
      </w:r>
      <w:r>
        <w:rPr>
          <w:rFonts w:hint="eastAsia" w:ascii="宋体" w:hAnsi="宋体" w:cs="宋体"/>
          <w:sz w:val="24"/>
          <w:highlight w:val="none"/>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highlight w:val="none"/>
        </w:rPr>
        <w:t>予以评审优惠。</w:t>
      </w:r>
      <w:r>
        <w:rPr>
          <w:rFonts w:hint="eastAsia" w:ascii="宋体" w:hAnsi="宋体" w:cs="宋体"/>
          <w:sz w:val="24"/>
          <w:highlight w:val="none"/>
          <w:lang w:val="zh-CN"/>
        </w:rPr>
        <w:t>在通用类货物、家具、印刷、公务车辆维修等采购项目中，供应商</w:t>
      </w:r>
      <w:r>
        <w:rPr>
          <w:rFonts w:hint="eastAsia" w:ascii="宋体" w:hAnsi="宋体" w:cs="宋体"/>
          <w:sz w:val="24"/>
          <w:highlight w:val="none"/>
        </w:rPr>
        <w:t>应</w:t>
      </w:r>
      <w:r>
        <w:rPr>
          <w:rFonts w:hint="eastAsia" w:ascii="宋体" w:hAnsi="宋体" w:cs="宋体"/>
          <w:sz w:val="24"/>
          <w:highlight w:val="none"/>
          <w:lang w:val="zh-CN"/>
        </w:rPr>
        <w:t>优先使用低挥发性原辅材料</w:t>
      </w:r>
      <w:r>
        <w:rPr>
          <w:rFonts w:hint="eastAsia" w:ascii="宋体" w:hAnsi="宋体" w:cs="宋体"/>
          <w:sz w:val="24"/>
          <w:highlight w:val="none"/>
        </w:rPr>
        <w:t>，将使用低</w:t>
      </w:r>
      <w:r>
        <w:rPr>
          <w:rFonts w:hint="eastAsia" w:ascii="宋体" w:hAnsi="宋体" w:cs="宋体"/>
          <w:sz w:val="24"/>
          <w:highlight w:val="none"/>
          <w:lang w:val="zh-CN"/>
        </w:rPr>
        <w:t>VOCs含量的</w:t>
      </w:r>
      <w:r>
        <w:rPr>
          <w:rFonts w:hint="eastAsia" w:ascii="宋体" w:hAnsi="宋体" w:cs="宋体"/>
          <w:sz w:val="24"/>
          <w:highlight w:val="none"/>
        </w:rPr>
        <w:t>涂料、</w:t>
      </w:r>
      <w:r>
        <w:rPr>
          <w:rFonts w:hint="eastAsia" w:ascii="宋体" w:hAnsi="宋体" w:cs="宋体"/>
          <w:sz w:val="24"/>
          <w:highlight w:val="none"/>
          <w:lang w:val="zh-CN"/>
        </w:rPr>
        <w:t>胶黏剂</w:t>
      </w:r>
      <w:r>
        <w:rPr>
          <w:rFonts w:hint="eastAsia" w:ascii="宋体" w:hAnsi="宋体" w:cs="宋体"/>
          <w:sz w:val="24"/>
          <w:highlight w:val="none"/>
        </w:rPr>
        <w:t>等纳入合同条款。</w:t>
      </w:r>
    </w:p>
    <w:p w14:paraId="25A98A21">
      <w:pPr>
        <w:spacing w:line="500" w:lineRule="exact"/>
        <w:ind w:firstLine="480"/>
        <w:rPr>
          <w:rFonts w:hint="eastAsia" w:ascii="宋体" w:hAnsi="宋体" w:cs="宋体"/>
          <w:sz w:val="24"/>
          <w:highlight w:val="none"/>
        </w:rPr>
      </w:pPr>
      <w:r>
        <w:rPr>
          <w:rFonts w:hint="eastAsia" w:ascii="宋体" w:hAnsi="宋体" w:cs="宋体"/>
          <w:sz w:val="24"/>
          <w:highlight w:val="none"/>
        </w:rPr>
        <w:t>29.12落实政府采购《绿色建筑和绿色建材政府采购需求标准》（财库〔2022〕35号文）和《政府采购支持绿色建材促进建筑品质提升政策项目实施指南》（财办库〔2023〕52号）文件标准。</w:t>
      </w:r>
    </w:p>
    <w:p w14:paraId="0DA51D07">
      <w:pPr>
        <w:spacing w:line="500" w:lineRule="exact"/>
        <w:ind w:firstLine="480"/>
        <w:rPr>
          <w:rFonts w:hint="eastAsia" w:ascii="宋体" w:hAnsi="宋体" w:cs="宋体"/>
          <w:sz w:val="24"/>
          <w:highlight w:val="none"/>
        </w:rPr>
      </w:pPr>
      <w:r>
        <w:rPr>
          <w:rFonts w:hint="eastAsia" w:ascii="宋体" w:hAnsi="宋体" w:cs="宋体"/>
          <w:sz w:val="24"/>
          <w:highlight w:val="none"/>
        </w:rPr>
        <w:t>29.13脱贫攻坚支持政策根据《关于运用政府采购政策支持脱贫攻坚的通知》（财库〔2019〕27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6E07496C">
      <w:pPr>
        <w:spacing w:line="500" w:lineRule="exact"/>
        <w:ind w:firstLine="480"/>
        <w:rPr>
          <w:rFonts w:hint="eastAsia" w:ascii="宋体" w:hAnsi="宋体" w:cs="宋体"/>
          <w:sz w:val="24"/>
          <w:highlight w:val="none"/>
        </w:rPr>
      </w:pPr>
      <w:r>
        <w:rPr>
          <w:rFonts w:hint="eastAsia" w:ascii="宋体" w:hAnsi="宋体" w:cs="宋体"/>
          <w:sz w:val="24"/>
          <w:highlight w:val="none"/>
        </w:rPr>
        <w:t>29.14未按要求提供相关材料的，不享受相关政策。</w:t>
      </w:r>
    </w:p>
    <w:p w14:paraId="76C0DFE3">
      <w:pPr>
        <w:pStyle w:val="624"/>
        <w:outlineLvl w:val="1"/>
        <w:rPr>
          <w:rFonts w:hint="eastAsia" w:ascii="宋体" w:hAnsi="宋体" w:eastAsia="宋体" w:cs="宋体"/>
          <w:highlight w:val="none"/>
        </w:rPr>
      </w:pPr>
      <w:bookmarkStart w:id="52" w:name="_Toc81493168"/>
      <w:bookmarkStart w:id="53" w:name="_Toc514054478"/>
      <w:bookmarkStart w:id="54" w:name="_Toc9744"/>
      <w:r>
        <w:rPr>
          <w:rFonts w:hint="eastAsia" w:ascii="宋体" w:hAnsi="宋体" w:eastAsia="宋体" w:cs="宋体"/>
          <w:highlight w:val="none"/>
        </w:rPr>
        <w:t>七、中标及合同签订</w:t>
      </w:r>
      <w:bookmarkEnd w:id="52"/>
      <w:bookmarkEnd w:id="53"/>
      <w:bookmarkEnd w:id="54"/>
    </w:p>
    <w:p w14:paraId="0B707B55">
      <w:pPr>
        <w:spacing w:line="500" w:lineRule="exact"/>
        <w:ind w:firstLine="482"/>
        <w:rPr>
          <w:rFonts w:hint="eastAsia" w:ascii="宋体" w:hAnsi="宋体" w:cs="宋体"/>
          <w:b/>
          <w:sz w:val="24"/>
          <w:highlight w:val="none"/>
        </w:rPr>
      </w:pPr>
      <w:r>
        <w:rPr>
          <w:rFonts w:hint="eastAsia" w:ascii="宋体" w:hAnsi="宋体" w:cs="宋体"/>
          <w:b/>
          <w:sz w:val="24"/>
          <w:highlight w:val="none"/>
        </w:rPr>
        <w:t>30、标后审查</w:t>
      </w:r>
    </w:p>
    <w:p w14:paraId="674D1FFD">
      <w:pPr>
        <w:spacing w:line="500" w:lineRule="exact"/>
        <w:ind w:firstLine="480"/>
        <w:rPr>
          <w:rFonts w:hint="eastAsia" w:ascii="宋体" w:hAnsi="宋体" w:cs="宋体"/>
          <w:sz w:val="24"/>
          <w:highlight w:val="none"/>
        </w:rPr>
      </w:pPr>
      <w:bookmarkStart w:id="55" w:name="EB17cdacdfdd1244abbb73389fe0bfffe7"/>
      <w:r>
        <w:rPr>
          <w:rFonts w:hint="eastAsia" w:ascii="宋体" w:hAnsi="宋体" w:cs="宋体"/>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3489AAB">
      <w:pPr>
        <w:spacing w:line="500" w:lineRule="exact"/>
        <w:ind w:firstLine="480"/>
        <w:rPr>
          <w:rFonts w:hint="eastAsia" w:ascii="宋体" w:hAnsi="宋体" w:cs="宋体"/>
          <w:sz w:val="24"/>
          <w:highlight w:val="none"/>
        </w:rPr>
      </w:pPr>
      <w:r>
        <w:rPr>
          <w:rFonts w:hint="eastAsia" w:ascii="宋体" w:hAnsi="宋体" w:cs="宋体"/>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5"/>
    </w:p>
    <w:p w14:paraId="334D6C20">
      <w:pPr>
        <w:spacing w:line="500" w:lineRule="exact"/>
        <w:ind w:firstLine="482"/>
        <w:rPr>
          <w:rFonts w:hint="eastAsia" w:ascii="宋体" w:hAnsi="宋体" w:cs="宋体"/>
          <w:b/>
          <w:sz w:val="24"/>
          <w:highlight w:val="none"/>
        </w:rPr>
      </w:pPr>
      <w:r>
        <w:rPr>
          <w:rFonts w:hint="eastAsia" w:ascii="宋体" w:hAnsi="宋体" w:cs="宋体"/>
          <w:b/>
          <w:sz w:val="24"/>
          <w:highlight w:val="none"/>
        </w:rPr>
        <w:t>31、确定中标人</w:t>
      </w:r>
    </w:p>
    <w:p w14:paraId="3E563CDF">
      <w:pPr>
        <w:spacing w:line="500" w:lineRule="exact"/>
        <w:ind w:firstLine="480"/>
        <w:rPr>
          <w:rFonts w:hint="eastAsia" w:ascii="宋体" w:hAnsi="宋体" w:cs="宋体"/>
          <w:sz w:val="24"/>
          <w:highlight w:val="none"/>
        </w:rPr>
      </w:pPr>
      <w:r>
        <w:rPr>
          <w:rFonts w:hint="eastAsia" w:ascii="宋体" w:hAnsi="宋体" w:cs="宋体"/>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0288A98B">
      <w:pPr>
        <w:spacing w:line="500" w:lineRule="exact"/>
        <w:ind w:firstLine="480"/>
        <w:rPr>
          <w:rFonts w:hint="eastAsia" w:ascii="宋体" w:hAnsi="宋体" w:cs="宋体"/>
          <w:sz w:val="24"/>
          <w:highlight w:val="none"/>
        </w:rPr>
      </w:pPr>
      <w:r>
        <w:rPr>
          <w:rFonts w:hint="eastAsia" w:ascii="宋体" w:hAnsi="宋体" w:cs="宋体"/>
          <w:sz w:val="24"/>
          <w:highlight w:val="none"/>
        </w:rPr>
        <w:t>31.2 在中标结果公告届满之前，中标人被列为失信被执行人的，取消其中标资格，并重新确定中标人。</w:t>
      </w:r>
    </w:p>
    <w:p w14:paraId="52FA1316">
      <w:pPr>
        <w:spacing w:line="500" w:lineRule="exact"/>
        <w:ind w:firstLine="480"/>
        <w:rPr>
          <w:rFonts w:hint="eastAsia" w:ascii="宋体" w:hAnsi="宋体" w:cs="宋体"/>
          <w:sz w:val="24"/>
          <w:highlight w:val="none"/>
        </w:rPr>
      </w:pPr>
      <w:r>
        <w:rPr>
          <w:rFonts w:hint="eastAsia" w:ascii="宋体" w:hAnsi="宋体" w:cs="宋体"/>
          <w:sz w:val="24"/>
          <w:highlight w:val="none"/>
        </w:rPr>
        <w:t>31.3采购人不得通过对样品进行检测、对供应商进行考察等方式改变评审结果。</w:t>
      </w:r>
    </w:p>
    <w:p w14:paraId="0FC541A0">
      <w:pPr>
        <w:spacing w:line="500" w:lineRule="exact"/>
        <w:ind w:firstLine="480"/>
        <w:rPr>
          <w:rFonts w:hint="eastAsia" w:ascii="宋体" w:hAnsi="宋体" w:cs="宋体"/>
          <w:sz w:val="24"/>
          <w:highlight w:val="none"/>
        </w:rPr>
      </w:pPr>
      <w:r>
        <w:rPr>
          <w:rFonts w:hint="eastAsia" w:ascii="宋体" w:hAnsi="宋体" w:cs="宋体"/>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17C3B152">
      <w:pPr>
        <w:spacing w:line="500" w:lineRule="exact"/>
        <w:ind w:firstLine="482"/>
        <w:rPr>
          <w:rFonts w:hint="eastAsia" w:ascii="宋体" w:hAnsi="宋体" w:cs="宋体"/>
          <w:b/>
          <w:sz w:val="24"/>
          <w:highlight w:val="none"/>
        </w:rPr>
      </w:pPr>
      <w:r>
        <w:rPr>
          <w:rFonts w:hint="eastAsia" w:ascii="宋体" w:hAnsi="宋体" w:cs="宋体"/>
          <w:b/>
          <w:sz w:val="24"/>
          <w:highlight w:val="none"/>
        </w:rPr>
        <w:t>32、中标通知书</w:t>
      </w:r>
    </w:p>
    <w:p w14:paraId="41FAF180">
      <w:pPr>
        <w:spacing w:line="500" w:lineRule="exact"/>
        <w:ind w:firstLine="480"/>
        <w:rPr>
          <w:rFonts w:hint="eastAsia" w:ascii="宋体" w:hAnsi="宋体" w:cs="宋体"/>
          <w:sz w:val="24"/>
          <w:highlight w:val="none"/>
        </w:rPr>
      </w:pPr>
      <w:r>
        <w:rPr>
          <w:rFonts w:hint="eastAsia" w:ascii="宋体" w:hAnsi="宋体" w:cs="宋体"/>
          <w:sz w:val="24"/>
          <w:highlight w:val="none"/>
        </w:rPr>
        <w:t>32.1中标结果在财政部门指定信息媒体上发布公告，招标代理机构将向中标人发出中标通知书。</w:t>
      </w:r>
    </w:p>
    <w:p w14:paraId="33E279C7">
      <w:pPr>
        <w:spacing w:line="500" w:lineRule="exact"/>
        <w:ind w:firstLine="480"/>
        <w:rPr>
          <w:rFonts w:hint="eastAsia" w:ascii="宋体" w:hAnsi="宋体" w:cs="宋体"/>
          <w:sz w:val="24"/>
          <w:highlight w:val="none"/>
        </w:rPr>
      </w:pPr>
      <w:r>
        <w:rPr>
          <w:rFonts w:hint="eastAsia" w:ascii="宋体" w:hAnsi="宋体" w:cs="宋体"/>
          <w:sz w:val="24"/>
          <w:highlight w:val="none"/>
        </w:rPr>
        <w:t>32.2中标人应及时到招标代理机构领取中标通知书，中标通知书是签订合同的依据和组成部分。</w:t>
      </w:r>
    </w:p>
    <w:p w14:paraId="358678D0">
      <w:pPr>
        <w:spacing w:line="500" w:lineRule="exact"/>
        <w:ind w:firstLine="482"/>
        <w:rPr>
          <w:rFonts w:hint="eastAsia" w:ascii="宋体" w:hAnsi="宋体" w:cs="宋体"/>
          <w:b/>
          <w:sz w:val="24"/>
          <w:highlight w:val="none"/>
        </w:rPr>
      </w:pPr>
      <w:r>
        <w:rPr>
          <w:rFonts w:hint="eastAsia" w:ascii="宋体" w:hAnsi="宋体" w:cs="宋体"/>
          <w:b/>
          <w:sz w:val="24"/>
          <w:highlight w:val="none"/>
        </w:rPr>
        <w:t>33、签订合同</w:t>
      </w:r>
    </w:p>
    <w:p w14:paraId="3E4E8C72">
      <w:pPr>
        <w:spacing w:line="500" w:lineRule="exact"/>
        <w:ind w:firstLine="480"/>
        <w:rPr>
          <w:rFonts w:hint="eastAsia" w:ascii="宋体" w:hAnsi="宋体" w:cs="宋体"/>
          <w:sz w:val="24"/>
          <w:highlight w:val="none"/>
        </w:rPr>
      </w:pPr>
      <w:r>
        <w:rPr>
          <w:rFonts w:hint="eastAsia" w:ascii="宋体" w:hAnsi="宋体" w:cs="宋体"/>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3A3816DA">
      <w:pPr>
        <w:spacing w:line="500" w:lineRule="exact"/>
        <w:ind w:firstLine="480"/>
        <w:rPr>
          <w:rFonts w:hint="eastAsia" w:ascii="宋体" w:hAnsi="宋体" w:cs="宋体"/>
          <w:sz w:val="24"/>
          <w:highlight w:val="none"/>
        </w:rPr>
      </w:pPr>
      <w:r>
        <w:rPr>
          <w:rFonts w:hint="eastAsia" w:ascii="宋体" w:hAnsi="宋体" w:cs="宋体"/>
          <w:sz w:val="24"/>
          <w:highlight w:val="none"/>
        </w:rPr>
        <w:t>33.2中标人无正当理由未在规定时间内与采购人签订合同的，采购人有权建议取消其中标资格，监管部门将对其依法处理。</w:t>
      </w:r>
    </w:p>
    <w:p w14:paraId="1066A10D">
      <w:pPr>
        <w:spacing w:line="500" w:lineRule="exact"/>
        <w:ind w:firstLine="482"/>
        <w:rPr>
          <w:rFonts w:hint="eastAsia" w:ascii="宋体" w:hAnsi="宋体" w:cs="宋体"/>
          <w:b/>
          <w:sz w:val="24"/>
          <w:highlight w:val="none"/>
        </w:rPr>
      </w:pPr>
      <w:r>
        <w:rPr>
          <w:rFonts w:hint="eastAsia" w:ascii="宋体" w:hAnsi="宋体" w:cs="宋体"/>
          <w:b/>
          <w:sz w:val="24"/>
          <w:highlight w:val="none"/>
        </w:rPr>
        <w:t>34、履约保证金</w:t>
      </w:r>
    </w:p>
    <w:p w14:paraId="4330FA64">
      <w:pPr>
        <w:ind w:firstLine="480"/>
        <w:rPr>
          <w:rFonts w:hint="eastAsia" w:ascii="宋体" w:hAnsi="宋体" w:cs="宋体"/>
          <w:sz w:val="24"/>
          <w:szCs w:val="24"/>
          <w:highlight w:val="none"/>
        </w:rPr>
      </w:pPr>
      <w:bookmarkStart w:id="56" w:name="EB3094b551b51c42ca93e0255d679fb06f"/>
      <w:r>
        <w:rPr>
          <w:rFonts w:hint="eastAsia" w:ascii="宋体" w:hAnsi="宋体" w:cs="宋体"/>
          <w:sz w:val="24"/>
          <w:szCs w:val="24"/>
          <w:highlight w:val="none"/>
        </w:rPr>
        <w:t xml:space="preserve">见前附表。 </w:t>
      </w:r>
      <w:bookmarkEnd w:id="56"/>
      <w:bookmarkStart w:id="57" w:name="EB0d6067c6e00d44b1ad5603550c455e87"/>
      <w:r>
        <w:rPr>
          <w:rFonts w:hint="eastAsia" w:ascii="宋体" w:hAnsi="宋体" w:cs="宋体"/>
          <w:sz w:val="24"/>
          <w:szCs w:val="24"/>
          <w:highlight w:val="none"/>
        </w:rPr>
        <w:t xml:space="preserve"> </w:t>
      </w:r>
      <w:bookmarkEnd w:id="57"/>
    </w:p>
    <w:p w14:paraId="4A250E8F">
      <w:pPr>
        <w:pStyle w:val="624"/>
        <w:outlineLvl w:val="1"/>
        <w:rPr>
          <w:rFonts w:hint="eastAsia" w:ascii="宋体" w:hAnsi="宋体" w:eastAsia="宋体" w:cs="宋体"/>
          <w:highlight w:val="none"/>
        </w:rPr>
      </w:pPr>
      <w:bookmarkStart w:id="58" w:name="_Toc81493169"/>
      <w:bookmarkStart w:id="59" w:name="_Toc514054479"/>
      <w:bookmarkStart w:id="60" w:name="_Toc25599"/>
      <w:r>
        <w:rPr>
          <w:rFonts w:hint="eastAsia" w:ascii="宋体" w:hAnsi="宋体" w:eastAsia="宋体" w:cs="宋体"/>
          <w:highlight w:val="none"/>
        </w:rPr>
        <w:t>八、验收及付款</w:t>
      </w:r>
      <w:bookmarkEnd w:id="58"/>
      <w:bookmarkEnd w:id="59"/>
      <w:bookmarkEnd w:id="60"/>
    </w:p>
    <w:p w14:paraId="035232D5">
      <w:pPr>
        <w:spacing w:line="500" w:lineRule="exact"/>
        <w:ind w:firstLine="482"/>
        <w:rPr>
          <w:rFonts w:hint="eastAsia" w:ascii="宋体" w:hAnsi="宋体" w:cs="宋体"/>
          <w:b/>
          <w:sz w:val="24"/>
          <w:highlight w:val="none"/>
        </w:rPr>
      </w:pPr>
      <w:r>
        <w:rPr>
          <w:rFonts w:hint="eastAsia" w:ascii="宋体" w:hAnsi="宋体" w:cs="宋体"/>
          <w:b/>
          <w:sz w:val="24"/>
          <w:highlight w:val="none"/>
        </w:rPr>
        <w:t>35、验收</w:t>
      </w:r>
    </w:p>
    <w:p w14:paraId="146026E3">
      <w:pPr>
        <w:spacing w:line="500" w:lineRule="exact"/>
        <w:ind w:firstLine="480"/>
        <w:rPr>
          <w:rFonts w:hint="eastAsia" w:ascii="宋体" w:hAnsi="宋体" w:cs="宋体"/>
          <w:sz w:val="24"/>
          <w:highlight w:val="none"/>
        </w:rPr>
      </w:pPr>
      <w:bookmarkStart w:id="61" w:name="EBbbb2492ed6b84c9193a6bb6f72a512f3"/>
      <w:r>
        <w:rPr>
          <w:rFonts w:hint="eastAsia" w:ascii="宋体" w:hAnsi="宋体" w:cs="宋体"/>
          <w:sz w:val="24"/>
          <w:highlight w:val="none"/>
        </w:rPr>
        <w:t>35.1由采购人组织验收，中标人配合。</w:t>
      </w:r>
      <w:bookmarkEnd w:id="61"/>
    </w:p>
    <w:p w14:paraId="50934637">
      <w:pPr>
        <w:spacing w:line="500" w:lineRule="exact"/>
        <w:ind w:firstLine="482"/>
        <w:rPr>
          <w:rFonts w:hint="eastAsia" w:ascii="宋体" w:hAnsi="宋体" w:cs="宋体"/>
          <w:b/>
          <w:sz w:val="24"/>
          <w:highlight w:val="none"/>
        </w:rPr>
      </w:pPr>
      <w:r>
        <w:rPr>
          <w:rFonts w:hint="eastAsia" w:ascii="宋体" w:hAnsi="宋体" w:cs="宋体"/>
          <w:b/>
          <w:sz w:val="24"/>
          <w:highlight w:val="none"/>
        </w:rPr>
        <w:t>36、付款</w:t>
      </w:r>
    </w:p>
    <w:p w14:paraId="6B81A21A">
      <w:pPr>
        <w:spacing w:line="500" w:lineRule="exact"/>
        <w:ind w:firstLine="480"/>
        <w:rPr>
          <w:rFonts w:hint="eastAsia" w:ascii="宋体" w:hAnsi="宋体" w:cs="宋体"/>
          <w:sz w:val="24"/>
          <w:highlight w:val="none"/>
        </w:rPr>
      </w:pPr>
      <w:bookmarkStart w:id="62" w:name="EBf0da31fab3a04ad0893de83144a87b34"/>
      <w:r>
        <w:rPr>
          <w:rFonts w:hint="eastAsia" w:ascii="宋体" w:hAnsi="宋体" w:cs="宋体"/>
          <w:sz w:val="24"/>
          <w:highlight w:val="none"/>
        </w:rPr>
        <w:t>36.1</w:t>
      </w:r>
      <w:bookmarkEnd w:id="62"/>
      <w:r>
        <w:rPr>
          <w:rFonts w:hint="eastAsia" w:ascii="宋体" w:hAnsi="宋体" w:cs="宋体"/>
          <w:sz w:val="24"/>
          <w:highlight w:val="none"/>
        </w:rPr>
        <w:t xml:space="preserve"> 采购人按招标文件要求办理采购款支付手续。</w:t>
      </w:r>
    </w:p>
    <w:p w14:paraId="737186C8">
      <w:pPr>
        <w:pStyle w:val="624"/>
        <w:outlineLvl w:val="1"/>
        <w:rPr>
          <w:rFonts w:hint="eastAsia" w:ascii="宋体" w:hAnsi="宋体" w:eastAsia="宋体" w:cs="宋体"/>
          <w:highlight w:val="none"/>
        </w:rPr>
      </w:pPr>
      <w:bookmarkStart w:id="63" w:name="_Toc81493170"/>
      <w:bookmarkStart w:id="64" w:name="_Toc10945"/>
      <w:bookmarkStart w:id="65" w:name="_Toc514054480"/>
      <w:r>
        <w:rPr>
          <w:rFonts w:hint="eastAsia" w:ascii="宋体" w:hAnsi="宋体" w:eastAsia="宋体" w:cs="宋体"/>
          <w:highlight w:val="none"/>
        </w:rPr>
        <w:t>九、质疑与投诉</w:t>
      </w:r>
      <w:bookmarkEnd w:id="63"/>
      <w:bookmarkEnd w:id="64"/>
      <w:bookmarkEnd w:id="65"/>
    </w:p>
    <w:p w14:paraId="1ADCB813">
      <w:pPr>
        <w:spacing w:line="500" w:lineRule="exact"/>
        <w:ind w:firstLine="422"/>
        <w:rPr>
          <w:rFonts w:hint="eastAsia" w:ascii="宋体" w:hAnsi="宋体" w:cs="宋体"/>
          <w:b/>
          <w:highlight w:val="none"/>
        </w:rPr>
      </w:pPr>
      <w:r>
        <w:rPr>
          <w:rFonts w:hint="eastAsia" w:ascii="宋体" w:hAnsi="宋体" w:cs="宋体"/>
          <w:b/>
          <w:highlight w:val="none"/>
        </w:rPr>
        <w:t>37、质疑与投诉</w:t>
      </w:r>
    </w:p>
    <w:p w14:paraId="3BB4AD14">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11B7D419">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37.2供应商应知其权益受到损害之日，是指：</w:t>
      </w:r>
    </w:p>
    <w:p w14:paraId="590C7DC0">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（1）对本项目采购文件提出质疑的，采购文件公告期限届满之日；</w:t>
      </w:r>
    </w:p>
    <w:p w14:paraId="3C83538E">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（2）对本项目采购过程提出质疑的，为各采购程序环节结束之日；</w:t>
      </w:r>
    </w:p>
    <w:p w14:paraId="77874518">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（3）对本项目中标或者成交结果提出质疑的，为中标或者成交结果公告期限届满之日。</w:t>
      </w:r>
    </w:p>
    <w:p w14:paraId="7B0871D5">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7ED28A9B">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37.4供应商提出质疑应当提交质疑函和必要的证明材料。质疑函的必备内容：</w:t>
      </w:r>
    </w:p>
    <w:p w14:paraId="140F7C67">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（1）供应商的姓名或者名称、地址、邮编、联系人及联系电话；</w:t>
      </w:r>
    </w:p>
    <w:p w14:paraId="5746CF44">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（2）质疑项目的名称、编号；</w:t>
      </w:r>
    </w:p>
    <w:p w14:paraId="1423A11A">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（3）具体、明确的质疑事项和质疑事项相关的请求；</w:t>
      </w:r>
    </w:p>
    <w:p w14:paraId="638D8BB1">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（4）事实依据；</w:t>
      </w:r>
    </w:p>
    <w:p w14:paraId="70F2FE5D">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（5）必要的法律依据；</w:t>
      </w:r>
    </w:p>
    <w:p w14:paraId="49FADF15">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（6）提出质疑的日期；</w:t>
      </w:r>
    </w:p>
    <w:p w14:paraId="5EC5F192">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（7）供应商为自然人的，由本人签字；供应商为法人或者其他组织的，应当由法定代表人、主要负责人，或者其授权代表签字或者盖章，并加盖公章。</w:t>
      </w:r>
    </w:p>
    <w:p w14:paraId="4D3BB559">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33753A52">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37.5以联合体形式参加政府采购活动的，其质疑应当由组成联合体的所有供应商共同提出。</w:t>
      </w:r>
    </w:p>
    <w:p w14:paraId="0F4CA43F">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104A219B">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37.7采购人、采购代理机构在收到质疑函后7个工作日内作出答复，并以书面形式通知质疑供应商和其他有关供应商，但质疑答复的内容不涉及商业秘密。</w:t>
      </w:r>
    </w:p>
    <w:p w14:paraId="5DAAFACB">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4E395BB2">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37.9供应商捏造事实、提供虚假材料或者以非法手段取得证明材料进行投诉的，由财政部门列入不良行为记录名单，禁止其1至3年内参加政府采购活动。 </w:t>
      </w:r>
      <w:bookmarkEnd w:id="50"/>
    </w:p>
    <w:p w14:paraId="7BF37E7A">
      <w:pPr>
        <w:pStyle w:val="624"/>
        <w:outlineLvl w:val="1"/>
        <w:rPr>
          <w:rFonts w:hint="eastAsia" w:ascii="宋体" w:hAnsi="宋体" w:eastAsia="宋体" w:cs="宋体"/>
          <w:highlight w:val="none"/>
        </w:rPr>
      </w:pPr>
      <w:bookmarkStart w:id="66" w:name="_Toc120614221"/>
      <w:bookmarkStart w:id="67" w:name="_Toc513029242"/>
      <w:bookmarkStart w:id="68" w:name="_Toc479757207"/>
      <w:bookmarkStart w:id="69" w:name="_Toc16938558"/>
      <w:bookmarkStart w:id="70" w:name="_Toc20823314"/>
      <w:r>
        <w:rPr>
          <w:rFonts w:hint="eastAsia" w:ascii="宋体" w:hAnsi="宋体" w:eastAsia="宋体" w:cs="宋体"/>
          <w:highlight w:val="none"/>
        </w:rPr>
        <w:t>十、政府采购履约资金扶持政策</w:t>
      </w:r>
      <w:bookmarkEnd w:id="66"/>
      <w:bookmarkEnd w:id="67"/>
      <w:bookmarkEnd w:id="68"/>
      <w:bookmarkEnd w:id="69"/>
      <w:bookmarkEnd w:id="70"/>
    </w:p>
    <w:p w14:paraId="1AEFC6D9">
      <w:pPr>
        <w:pStyle w:val="239"/>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1FFD27BD">
      <w:pPr>
        <w:spacing w:line="520" w:lineRule="exact"/>
        <w:ind w:firstLine="480"/>
        <w:rPr>
          <w:rFonts w:hint="eastAsia" w:ascii="宋体" w:hAnsi="宋体"/>
          <w:sz w:val="24"/>
          <w:highlight w:val="none"/>
        </w:rPr>
      </w:pPr>
      <w:r>
        <w:rPr>
          <w:rFonts w:hint="eastAsia" w:ascii="宋体" w:hAnsi="宋体"/>
          <w:sz w:val="24"/>
          <w:highlight w:val="none"/>
        </w:rPr>
        <w:t> </w:t>
      </w:r>
    </w:p>
    <w:p w14:paraId="4273125D">
      <w:pPr>
        <w:jc w:val="center"/>
        <w:outlineLvl w:val="0"/>
        <w:rPr>
          <w:b/>
          <w:sz w:val="44"/>
          <w:szCs w:val="44"/>
          <w:highlight w:val="none"/>
        </w:rPr>
      </w:pPr>
      <w:r>
        <w:rPr>
          <w:rFonts w:hint="eastAsia"/>
          <w:b/>
          <w:sz w:val="44"/>
          <w:szCs w:val="44"/>
          <w:highlight w:val="none"/>
        </w:rPr>
        <w:br w:type="page" w:clear="all"/>
      </w:r>
      <w:bookmarkStart w:id="71" w:name="_Toc22015"/>
      <w:r>
        <w:rPr>
          <w:rFonts w:hint="eastAsia"/>
          <w:b/>
          <w:sz w:val="44"/>
          <w:szCs w:val="44"/>
          <w:highlight w:val="none"/>
        </w:rPr>
        <w:t xml:space="preserve">第三部分  </w:t>
      </w:r>
      <w:bookmarkEnd w:id="71"/>
      <w:r>
        <w:rPr>
          <w:rFonts w:hint="eastAsia"/>
          <w:b/>
          <w:sz w:val="44"/>
          <w:szCs w:val="44"/>
          <w:highlight w:val="none"/>
        </w:rPr>
        <w:t>评标方法和标准</w:t>
      </w:r>
    </w:p>
    <w:p w14:paraId="0C3E2144">
      <w:pPr>
        <w:spacing w:before="156" w:after="156"/>
        <w:ind w:firstLine="643"/>
        <w:outlineLvl w:val="1"/>
        <w:rPr>
          <w:b/>
          <w:sz w:val="32"/>
          <w:szCs w:val="32"/>
          <w:highlight w:val="none"/>
        </w:rPr>
      </w:pPr>
      <w:bookmarkStart w:id="72" w:name="_Toc24217_WPSOffice_Level2"/>
      <w:bookmarkStart w:id="73" w:name="_Toc4647"/>
      <w:r>
        <w:rPr>
          <w:rFonts w:hint="eastAsia"/>
          <w:b/>
          <w:sz w:val="32"/>
          <w:szCs w:val="32"/>
          <w:highlight w:val="none"/>
        </w:rPr>
        <w:t>一、资格审查</w:t>
      </w:r>
      <w:bookmarkEnd w:id="72"/>
      <w:bookmarkEnd w:id="73"/>
    </w:p>
    <w:p w14:paraId="47799256">
      <w:pPr>
        <w:ind w:firstLine="420"/>
        <w:rPr>
          <w:rFonts w:hint="eastAsia" w:ascii="宋体" w:hAnsi="宋体" w:cs="宋体"/>
          <w:sz w:val="24"/>
          <w:highlight w:val="none"/>
        </w:rPr>
      </w:pPr>
      <w:r>
        <w:rPr>
          <w:rFonts w:hint="eastAsia" w:ascii="宋体" w:hAnsi="宋体" w:cs="宋体"/>
          <w:sz w:val="24"/>
          <w:highlight w:val="none"/>
        </w:rPr>
        <w:t>采购人按照下列指标对各投标人的资格进行审查，未通过审查的为无效标，不参与评标。</w:t>
      </w:r>
    </w:p>
    <w:tbl>
      <w:tblPr>
        <w:tblStyle w:val="34"/>
        <w:tblW w:w="9161" w:type="dxa"/>
        <w:tblInd w:w="35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3288"/>
        <w:gridCol w:w="3336"/>
        <w:gridCol w:w="2537"/>
      </w:tblGrid>
      <w:tr w14:paraId="6A79E7E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381"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384C95BA">
            <w:pPr>
              <w:jc w:val="center"/>
              <w:rPr>
                <w:rFonts w:cs="宋体"/>
                <w:highlight w:val="none"/>
              </w:rPr>
            </w:pPr>
            <w:r>
              <w:rPr>
                <w:rFonts w:hint="eastAsia" w:cs="宋体"/>
                <w:highlight w:val="none"/>
              </w:rPr>
              <w:t>资格审查因素</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3505E27E">
            <w:pPr>
              <w:jc w:val="center"/>
              <w:rPr>
                <w:rFonts w:cs="宋体"/>
                <w:highlight w:val="none"/>
              </w:rPr>
            </w:pPr>
            <w:r>
              <w:rPr>
                <w:rFonts w:hint="eastAsia" w:cs="宋体"/>
                <w:highlight w:val="none"/>
              </w:rPr>
              <w:t>审查标准</w:t>
            </w:r>
          </w:p>
        </w:tc>
      </w:tr>
      <w:tr w14:paraId="4DDE2C8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47100481">
            <w:pPr>
              <w:jc w:val="left"/>
              <w:rPr>
                <w:rFonts w:cs="宋体"/>
                <w:highlight w:val="none"/>
              </w:rPr>
            </w:pPr>
            <w:r>
              <w:rPr>
                <w:rFonts w:hint="eastAsia" w:cs="Arial"/>
                <w:bCs/>
                <w:highlight w:val="none"/>
              </w:rPr>
              <w:t>具有独立承担民事责任的能力</w:t>
            </w:r>
            <w:r>
              <w:rPr>
                <w:rFonts w:hint="eastAsia" w:eastAsia="Times New Roman" w:cs="Arial"/>
                <w:bCs/>
                <w:highlight w:val="none"/>
              </w:rPr>
              <w:t>（企业“三证合一”营业执照副本（复印件）</w:t>
            </w:r>
            <w:r>
              <w:rPr>
                <w:rFonts w:hint="eastAsia" w:cs="宋体"/>
                <w:bCs/>
                <w:highlight w:val="none"/>
              </w:rPr>
              <w:t>等</w:t>
            </w:r>
            <w:r>
              <w:rPr>
                <w:rFonts w:hint="eastAsia" w:eastAsia="Times New Roman" w:cs="Arial"/>
                <w:bCs/>
                <w:highlight w:val="none"/>
              </w:rPr>
              <w:t>）</w:t>
            </w:r>
          </w:p>
        </w:tc>
        <w:tc>
          <w:tcPr>
            <w:tcW w:w="3336" w:type="dxa"/>
            <w:vMerge w:val="restart"/>
            <w:tcBorders>
              <w:top w:val="single" w:color="auto" w:sz="6" w:space="0"/>
              <w:left w:val="single" w:color="auto" w:sz="6" w:space="0"/>
              <w:right w:val="single" w:color="auto" w:sz="6" w:space="0"/>
            </w:tcBorders>
            <w:noWrap w:val="0"/>
            <w:vAlign w:val="center"/>
          </w:tcPr>
          <w:p w14:paraId="77C65137">
            <w:pPr>
              <w:jc w:val="left"/>
              <w:rPr>
                <w:rFonts w:cs="宋体"/>
                <w:highlight w:val="none"/>
              </w:rPr>
            </w:pPr>
            <w:r>
              <w:rPr>
                <w:rFonts w:hint="eastAsia" w:cs="宋体"/>
                <w:szCs w:val="21"/>
                <w:highlight w:val="none"/>
              </w:rPr>
              <w:t>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p>
        </w:tc>
        <w:tc>
          <w:tcPr>
            <w:tcW w:w="2537" w:type="dxa"/>
            <w:vMerge w:val="restart"/>
            <w:tcBorders>
              <w:top w:val="single" w:color="auto" w:sz="6" w:space="0"/>
              <w:left w:val="single" w:color="auto" w:sz="6" w:space="0"/>
              <w:bottom w:val="single" w:color="auto" w:sz="6" w:space="0"/>
              <w:right w:val="single" w:color="auto" w:sz="6" w:space="0"/>
            </w:tcBorders>
            <w:noWrap w:val="0"/>
            <w:vAlign w:val="center"/>
          </w:tcPr>
          <w:p w14:paraId="44FD9074">
            <w:pPr>
              <w:jc w:val="left"/>
              <w:rPr>
                <w:rFonts w:cs="宋体"/>
                <w:highlight w:val="none"/>
              </w:rPr>
            </w:pPr>
            <w:r>
              <w:rPr>
                <w:rFonts w:hint="eastAsia" w:cs="宋体"/>
                <w:highlight w:val="none"/>
              </w:rPr>
              <w:t>符合招标文件第11条“投标文件构成”的要求</w:t>
            </w:r>
          </w:p>
        </w:tc>
      </w:tr>
      <w:tr w14:paraId="5F72D1C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54A96B79">
            <w:pPr>
              <w:jc w:val="left"/>
              <w:rPr>
                <w:rFonts w:cs="宋体"/>
                <w:highlight w:val="none"/>
              </w:rPr>
            </w:pPr>
            <w:r>
              <w:rPr>
                <w:rFonts w:hint="eastAsia" w:cs="Arial"/>
                <w:bCs/>
                <w:highlight w:val="none"/>
              </w:rPr>
              <w:t>具有良好的商业信誉和健全的财务会计制度</w:t>
            </w:r>
          </w:p>
        </w:tc>
        <w:tc>
          <w:tcPr>
            <w:tcW w:w="3336" w:type="dxa"/>
            <w:vMerge w:val="continue"/>
            <w:tcBorders>
              <w:left w:val="single" w:color="auto" w:sz="6" w:space="0"/>
              <w:right w:val="single" w:color="auto" w:sz="6" w:space="0"/>
            </w:tcBorders>
            <w:noWrap w:val="0"/>
            <w:vAlign w:val="center"/>
          </w:tcPr>
          <w:p w14:paraId="0B10C067">
            <w:pPr>
              <w:jc w:val="left"/>
              <w:rPr>
                <w:rFonts w:cs="宋体"/>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072BBD26">
            <w:pPr>
              <w:jc w:val="left"/>
              <w:rPr>
                <w:rFonts w:cs="宋体"/>
                <w:highlight w:val="none"/>
              </w:rPr>
            </w:pPr>
          </w:p>
        </w:tc>
      </w:tr>
      <w:tr w14:paraId="466C259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0FF82F28">
            <w:pPr>
              <w:jc w:val="left"/>
              <w:rPr>
                <w:rFonts w:cs="宋体"/>
                <w:highlight w:val="none"/>
              </w:rPr>
            </w:pPr>
            <w:r>
              <w:rPr>
                <w:rFonts w:hint="eastAsia" w:cs="Arial"/>
                <w:bCs/>
                <w:highlight w:val="none"/>
              </w:rPr>
              <w:t>具有履行合同所必需的设备和专业技术能力</w:t>
            </w:r>
          </w:p>
        </w:tc>
        <w:tc>
          <w:tcPr>
            <w:tcW w:w="3336" w:type="dxa"/>
            <w:vMerge w:val="continue"/>
            <w:tcBorders>
              <w:left w:val="single" w:color="auto" w:sz="6" w:space="0"/>
              <w:right w:val="single" w:color="auto" w:sz="6" w:space="0"/>
            </w:tcBorders>
            <w:noWrap w:val="0"/>
            <w:vAlign w:val="center"/>
          </w:tcPr>
          <w:p w14:paraId="495355F0">
            <w:pPr>
              <w:jc w:val="left"/>
              <w:rPr>
                <w:rFonts w:cs="宋体"/>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2AC8B23D">
            <w:pPr>
              <w:jc w:val="left"/>
              <w:rPr>
                <w:rFonts w:cs="宋体"/>
                <w:highlight w:val="none"/>
              </w:rPr>
            </w:pPr>
          </w:p>
        </w:tc>
      </w:tr>
      <w:tr w14:paraId="7984EA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1A561E7E">
            <w:pPr>
              <w:jc w:val="left"/>
              <w:rPr>
                <w:rFonts w:cs="宋体"/>
                <w:highlight w:val="none"/>
              </w:rPr>
            </w:pPr>
            <w:r>
              <w:rPr>
                <w:rFonts w:hint="eastAsia" w:cs="Arial"/>
                <w:bCs/>
                <w:highlight w:val="none"/>
              </w:rPr>
              <w:t>有依法缴纳税收和社会保障资金的良好记录</w:t>
            </w:r>
          </w:p>
        </w:tc>
        <w:tc>
          <w:tcPr>
            <w:tcW w:w="3336" w:type="dxa"/>
            <w:vMerge w:val="continue"/>
            <w:tcBorders>
              <w:left w:val="single" w:color="auto" w:sz="6" w:space="0"/>
              <w:right w:val="single" w:color="auto" w:sz="6" w:space="0"/>
            </w:tcBorders>
            <w:noWrap w:val="0"/>
            <w:vAlign w:val="center"/>
          </w:tcPr>
          <w:p w14:paraId="50387ECF">
            <w:pPr>
              <w:jc w:val="left"/>
              <w:rPr>
                <w:rFonts w:cs="宋体"/>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7B31A2C8">
            <w:pPr>
              <w:jc w:val="left"/>
              <w:rPr>
                <w:rFonts w:cs="宋体"/>
                <w:highlight w:val="none"/>
              </w:rPr>
            </w:pPr>
          </w:p>
        </w:tc>
      </w:tr>
      <w:tr w14:paraId="003B116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2B3C62C3">
            <w:pPr>
              <w:jc w:val="left"/>
              <w:rPr>
                <w:rFonts w:cs="宋体"/>
                <w:highlight w:val="none"/>
              </w:rPr>
            </w:pPr>
            <w:r>
              <w:rPr>
                <w:rFonts w:hint="eastAsia" w:cs="宋体"/>
                <w:highlight w:val="none"/>
              </w:rPr>
              <w:t>无重大违法行为声明</w:t>
            </w:r>
          </w:p>
        </w:tc>
        <w:tc>
          <w:tcPr>
            <w:tcW w:w="3336" w:type="dxa"/>
            <w:vMerge w:val="continue"/>
            <w:tcBorders>
              <w:left w:val="single" w:color="auto" w:sz="6" w:space="0"/>
              <w:right w:val="single" w:color="auto" w:sz="6" w:space="0"/>
            </w:tcBorders>
            <w:noWrap w:val="0"/>
            <w:vAlign w:val="center"/>
          </w:tcPr>
          <w:p w14:paraId="63FF12EA">
            <w:pPr>
              <w:jc w:val="left"/>
              <w:rPr>
                <w:rFonts w:cs="宋体"/>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38456143">
            <w:pPr>
              <w:jc w:val="left"/>
              <w:rPr>
                <w:rFonts w:cs="宋体"/>
                <w:highlight w:val="none"/>
              </w:rPr>
            </w:pPr>
          </w:p>
        </w:tc>
      </w:tr>
      <w:tr w14:paraId="151A5DC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4DBDF04D">
            <w:pPr>
              <w:jc w:val="left"/>
              <w:rPr>
                <w:rFonts w:cs="宋体"/>
                <w:highlight w:val="none"/>
              </w:rPr>
            </w:pPr>
            <w:r>
              <w:rPr>
                <w:rFonts w:hint="eastAsia" w:cs="宋体"/>
                <w:highlight w:val="none"/>
              </w:rPr>
              <w:t>法律、行政法规规定的其他条件</w:t>
            </w:r>
          </w:p>
        </w:tc>
        <w:tc>
          <w:tcPr>
            <w:tcW w:w="3336" w:type="dxa"/>
            <w:vMerge w:val="continue"/>
            <w:tcBorders>
              <w:left w:val="single" w:color="auto" w:sz="6" w:space="0"/>
              <w:bottom w:val="single" w:color="auto" w:sz="6" w:space="0"/>
              <w:right w:val="single" w:color="auto" w:sz="6" w:space="0"/>
            </w:tcBorders>
            <w:noWrap w:val="0"/>
            <w:vAlign w:val="center"/>
          </w:tcPr>
          <w:p w14:paraId="6045E610">
            <w:pPr>
              <w:jc w:val="left"/>
              <w:rPr>
                <w:rFonts w:cs="宋体"/>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12F1F013">
            <w:pPr>
              <w:jc w:val="left"/>
              <w:rPr>
                <w:rFonts w:cs="宋体"/>
                <w:highlight w:val="none"/>
              </w:rPr>
            </w:pPr>
          </w:p>
        </w:tc>
      </w:tr>
      <w:tr w14:paraId="51C8A63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089A1B7C">
            <w:pPr>
              <w:jc w:val="left"/>
              <w:rPr>
                <w:rFonts w:cs="宋体"/>
                <w:highlight w:val="none"/>
              </w:rPr>
            </w:pPr>
            <w:r>
              <w:rPr>
                <w:rFonts w:hint="eastAsia" w:cs="宋体"/>
                <w:highlight w:val="none"/>
              </w:rPr>
              <w:t>信用信息</w:t>
            </w: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0488346F">
            <w:pPr>
              <w:jc w:val="left"/>
              <w:rPr>
                <w:rFonts w:cs="宋体"/>
                <w:highlight w:val="none"/>
              </w:rPr>
            </w:pPr>
          </w:p>
        </w:tc>
      </w:tr>
      <w:tr w14:paraId="73A47A6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EA3455C">
            <w:pPr>
              <w:jc w:val="left"/>
              <w:rPr>
                <w:rFonts w:cs="宋体"/>
                <w:highlight w:val="none"/>
              </w:rPr>
            </w:pPr>
            <w:r>
              <w:rPr>
                <w:rFonts w:hint="eastAsia" w:cs="宋体"/>
                <w:highlight w:val="none"/>
              </w:rPr>
              <w:t>投标产品及投标人资质证书</w:t>
            </w: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20609123">
            <w:pPr>
              <w:jc w:val="left"/>
              <w:rPr>
                <w:rFonts w:cs="宋体"/>
                <w:highlight w:val="none"/>
              </w:rPr>
            </w:pPr>
          </w:p>
        </w:tc>
      </w:tr>
      <w:tr w14:paraId="4917ACC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07382884">
            <w:pPr>
              <w:jc w:val="left"/>
              <w:rPr>
                <w:rFonts w:cs="宋体"/>
                <w:highlight w:val="none"/>
              </w:rPr>
            </w:pPr>
            <w:r>
              <w:rPr>
                <w:rFonts w:hint="eastAsia" w:cs="宋体"/>
                <w:highlight w:val="none"/>
              </w:rPr>
              <w:t>投标人的关联性要求</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6FFC60F3">
            <w:pPr>
              <w:jc w:val="left"/>
              <w:rPr>
                <w:rFonts w:cs="宋体"/>
                <w:highlight w:val="none"/>
              </w:rPr>
            </w:pPr>
            <w:r>
              <w:rPr>
                <w:rFonts w:hint="eastAsia" w:cs="宋体"/>
                <w:highlight w:val="none"/>
              </w:rPr>
              <w:t>符合招标文件规定</w:t>
            </w:r>
          </w:p>
        </w:tc>
      </w:tr>
      <w:tr w14:paraId="1B76C60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5CFF524">
            <w:pPr>
              <w:jc w:val="left"/>
              <w:rPr>
                <w:rFonts w:cs="宋体"/>
                <w:highlight w:val="none"/>
              </w:rPr>
            </w:pPr>
            <w:r>
              <w:rPr>
                <w:rFonts w:hint="eastAsia" w:cs="宋体"/>
                <w:highlight w:val="none"/>
              </w:rPr>
              <w:t>符合联合体规定</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0B56B47D">
            <w:pPr>
              <w:jc w:val="left"/>
              <w:rPr>
                <w:rFonts w:cs="宋体"/>
                <w:highlight w:val="none"/>
              </w:rPr>
            </w:pPr>
            <w:r>
              <w:rPr>
                <w:rFonts w:hint="eastAsia" w:cs="宋体"/>
                <w:highlight w:val="none"/>
              </w:rPr>
              <w:t>符合招标文件规定</w:t>
            </w:r>
          </w:p>
        </w:tc>
      </w:tr>
      <w:tr w14:paraId="601BECF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22"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370FB4F">
            <w:pPr>
              <w:jc w:val="left"/>
              <w:rPr>
                <w:rFonts w:cs="宋体"/>
                <w:highlight w:val="none"/>
              </w:rPr>
            </w:pPr>
            <w:r>
              <w:rPr>
                <w:rFonts w:hint="eastAsia" w:cs="宋体"/>
                <w:highlight w:val="none"/>
              </w:rPr>
              <w:t>特定资格要求（如有）</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24CD47BF">
            <w:pPr>
              <w:jc w:val="left"/>
              <w:rPr>
                <w:rFonts w:cs="宋体"/>
                <w:highlight w:val="none"/>
              </w:rPr>
            </w:pPr>
            <w:r>
              <w:rPr>
                <w:rFonts w:hint="eastAsia" w:cs="宋体"/>
                <w:highlight w:val="none"/>
              </w:rPr>
              <w:t>符合招标文件规定</w:t>
            </w:r>
          </w:p>
        </w:tc>
      </w:tr>
    </w:tbl>
    <w:p w14:paraId="3FC81801">
      <w:pPr>
        <w:ind w:firstLine="420"/>
        <w:rPr>
          <w:rFonts w:hint="eastAsia" w:ascii="宋体" w:hAnsi="宋体" w:cs="宋体"/>
          <w:sz w:val="24"/>
          <w:highlight w:val="none"/>
        </w:rPr>
      </w:pPr>
    </w:p>
    <w:p w14:paraId="6D2A0802">
      <w:pPr>
        <w:spacing w:before="156" w:after="156"/>
        <w:ind w:firstLine="643"/>
        <w:outlineLvl w:val="1"/>
        <w:rPr>
          <w:b/>
          <w:sz w:val="32"/>
          <w:szCs w:val="32"/>
          <w:highlight w:val="none"/>
        </w:rPr>
      </w:pPr>
      <w:r>
        <w:rPr>
          <w:rFonts w:hint="eastAsia"/>
          <w:b/>
          <w:sz w:val="32"/>
          <w:szCs w:val="32"/>
          <w:highlight w:val="none"/>
        </w:rPr>
        <w:t>二、符合性审查</w:t>
      </w:r>
    </w:p>
    <w:p w14:paraId="35A00C1A">
      <w:pPr>
        <w:ind w:firstLine="420"/>
        <w:rPr>
          <w:rFonts w:hint="eastAsia" w:ascii="宋体" w:hAnsi="宋体" w:cs="宋体"/>
          <w:sz w:val="24"/>
          <w:highlight w:val="none"/>
        </w:rPr>
      </w:pPr>
      <w:r>
        <w:rPr>
          <w:rFonts w:hint="eastAsia" w:ascii="宋体" w:hAnsi="宋体" w:cs="宋体"/>
          <w:sz w:val="24"/>
          <w:highlight w:val="none"/>
        </w:rPr>
        <w:t>符合性审查是指依据招标文件的规定，从商务和技术角度对投标文件的有效性和完整性进行审查，以确定是否对招标文件的实质性要求做出响应。</w:t>
      </w:r>
    </w:p>
    <w:p w14:paraId="4ADC8574">
      <w:pPr>
        <w:ind w:firstLine="420"/>
        <w:rPr>
          <w:rFonts w:hint="eastAsia" w:ascii="宋体" w:hAnsi="宋体" w:cs="宋体"/>
          <w:sz w:val="24"/>
          <w:highlight w:val="none"/>
        </w:rPr>
      </w:pPr>
      <w:r>
        <w:rPr>
          <w:rFonts w:hint="eastAsia" w:ascii="宋体" w:hAnsi="宋体" w:cs="宋体"/>
          <w:sz w:val="24"/>
          <w:highlight w:val="none"/>
        </w:rPr>
        <w:t>未通过审查的为无效标，不再参与评审。</w:t>
      </w:r>
    </w:p>
    <w:tbl>
      <w:tblPr>
        <w:tblStyle w:val="34"/>
        <w:tblW w:w="9203" w:type="dxa"/>
        <w:tblInd w:w="332"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618"/>
        <w:gridCol w:w="4585"/>
      </w:tblGrid>
      <w:tr w14:paraId="5B3329D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06437526">
            <w:pPr>
              <w:jc w:val="center"/>
              <w:rPr>
                <w:rFonts w:cs="宋体"/>
                <w:highlight w:val="none"/>
              </w:rPr>
            </w:pPr>
            <w:r>
              <w:rPr>
                <w:rFonts w:hint="eastAsia" w:cs="宋体"/>
                <w:highlight w:val="none"/>
              </w:rPr>
              <w:t>符合性审查因素</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228B8ABF">
            <w:pPr>
              <w:jc w:val="center"/>
              <w:rPr>
                <w:rFonts w:cs="宋体"/>
                <w:highlight w:val="none"/>
              </w:rPr>
            </w:pPr>
            <w:r>
              <w:rPr>
                <w:rFonts w:hint="eastAsia" w:cs="宋体"/>
                <w:highlight w:val="none"/>
              </w:rPr>
              <w:t>审查标准</w:t>
            </w:r>
          </w:p>
        </w:tc>
      </w:tr>
      <w:tr w14:paraId="5BBD2E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3B0A86D2">
            <w:pPr>
              <w:jc w:val="left"/>
              <w:rPr>
                <w:rFonts w:cs="宋体"/>
                <w:highlight w:val="none"/>
              </w:rPr>
            </w:pPr>
            <w:r>
              <w:rPr>
                <w:rFonts w:hint="eastAsia" w:cs="宋体"/>
                <w:highlight w:val="none"/>
              </w:rPr>
              <w:t>投标函</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00848CE9">
            <w:pPr>
              <w:jc w:val="left"/>
              <w:rPr>
                <w:rFonts w:cs="宋体"/>
                <w:highlight w:val="none"/>
              </w:rPr>
            </w:pPr>
            <w:r>
              <w:rPr>
                <w:rFonts w:hint="eastAsia" w:cs="宋体"/>
                <w:highlight w:val="none"/>
              </w:rPr>
              <w:t>符合招标文件第11.2条款的要求</w:t>
            </w:r>
          </w:p>
        </w:tc>
      </w:tr>
      <w:tr w14:paraId="0222EF5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65E15E0F">
            <w:pPr>
              <w:jc w:val="left"/>
              <w:rPr>
                <w:rFonts w:cs="宋体"/>
                <w:highlight w:val="none"/>
              </w:rPr>
            </w:pPr>
            <w:r>
              <w:rPr>
                <w:rFonts w:hint="eastAsia" w:cs="宋体"/>
                <w:highlight w:val="none"/>
              </w:rPr>
              <w:t>法定代表人身份证明或授权委托书</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364391FB">
            <w:pPr>
              <w:jc w:val="left"/>
              <w:rPr>
                <w:rFonts w:cs="宋体"/>
                <w:highlight w:val="none"/>
              </w:rPr>
            </w:pPr>
            <w:r>
              <w:rPr>
                <w:rFonts w:hint="eastAsia" w:cs="宋体"/>
                <w:highlight w:val="none"/>
              </w:rPr>
              <w:t>符合招标文件第11.3条款的要求</w:t>
            </w:r>
          </w:p>
        </w:tc>
      </w:tr>
      <w:tr w14:paraId="21FE6C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27FDD590">
            <w:pPr>
              <w:jc w:val="left"/>
              <w:rPr>
                <w:rFonts w:cs="宋体"/>
                <w:highlight w:val="none"/>
              </w:rPr>
            </w:pPr>
            <w:r>
              <w:rPr>
                <w:rFonts w:hint="eastAsia" w:cs="宋体"/>
                <w:highlight w:val="none"/>
              </w:rPr>
              <w:t>签署和盖章符合要求</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583BC5E0">
            <w:pPr>
              <w:jc w:val="left"/>
              <w:rPr>
                <w:rFonts w:cs="宋体"/>
                <w:highlight w:val="none"/>
              </w:rPr>
            </w:pPr>
            <w:r>
              <w:rPr>
                <w:rFonts w:hint="eastAsia" w:cs="宋体"/>
                <w:highlight w:val="none"/>
              </w:rPr>
              <w:t>符合招标文件规定</w:t>
            </w:r>
          </w:p>
        </w:tc>
      </w:tr>
      <w:tr w14:paraId="578C4F2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0502E134">
            <w:pPr>
              <w:jc w:val="left"/>
              <w:rPr>
                <w:rFonts w:cs="宋体"/>
                <w:highlight w:val="none"/>
              </w:rPr>
            </w:pPr>
            <w:r>
              <w:rPr>
                <w:rFonts w:hint="eastAsia" w:cs="宋体"/>
                <w:highlight w:val="none"/>
              </w:rPr>
              <w:t xml:space="preserve">开标一览表及投标报价 </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318C577F">
            <w:pPr>
              <w:jc w:val="left"/>
              <w:rPr>
                <w:rFonts w:cs="宋体"/>
                <w:highlight w:val="none"/>
              </w:rPr>
            </w:pPr>
            <w:r>
              <w:rPr>
                <w:rFonts w:hint="eastAsia" w:cs="宋体"/>
                <w:highlight w:val="none"/>
              </w:rPr>
              <w:t>格式、填写要求符合招标文件规定（报价未超过预算或最高限价）</w:t>
            </w:r>
          </w:p>
        </w:tc>
      </w:tr>
      <w:tr w14:paraId="64E8815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2A02E70B">
            <w:pPr>
              <w:jc w:val="left"/>
              <w:rPr>
                <w:rFonts w:cs="宋体"/>
                <w:highlight w:val="none"/>
              </w:rPr>
            </w:pPr>
            <w:r>
              <w:rPr>
                <w:rFonts w:hint="eastAsia" w:cs="宋体"/>
                <w:highlight w:val="none"/>
              </w:rPr>
              <w:t>投标文件对招标文件的实质性条款的响应性</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6F05295D">
            <w:pPr>
              <w:jc w:val="left"/>
              <w:rPr>
                <w:rFonts w:cs="宋体"/>
                <w:highlight w:val="none"/>
              </w:rPr>
            </w:pPr>
            <w:r>
              <w:rPr>
                <w:rFonts w:hint="eastAsia" w:cs="宋体"/>
                <w:highlight w:val="none"/>
              </w:rPr>
              <w:t>符合招标文件规定</w:t>
            </w:r>
          </w:p>
        </w:tc>
      </w:tr>
    </w:tbl>
    <w:p w14:paraId="461E9A0C">
      <w:pPr>
        <w:ind w:firstLine="420"/>
        <w:rPr>
          <w:rFonts w:hint="eastAsia" w:ascii="宋体" w:hAnsi="宋体" w:cs="宋体"/>
          <w:sz w:val="24"/>
          <w:highlight w:val="none"/>
        </w:rPr>
      </w:pPr>
    </w:p>
    <w:p w14:paraId="74A72CE9">
      <w:pPr>
        <w:outlineLvl w:val="1"/>
        <w:rPr>
          <w:rFonts w:hint="eastAsia" w:ascii="宋体" w:hAnsi="宋体" w:cs="宋体"/>
          <w:b/>
          <w:sz w:val="32"/>
          <w:szCs w:val="32"/>
          <w:highlight w:val="none"/>
        </w:rPr>
      </w:pPr>
      <w:bookmarkStart w:id="74" w:name="_Toc11959"/>
      <w:r>
        <w:rPr>
          <w:rFonts w:hint="eastAsia" w:ascii="宋体" w:hAnsi="宋体" w:cs="宋体"/>
          <w:b/>
          <w:sz w:val="32"/>
          <w:szCs w:val="32"/>
          <w:highlight w:val="none"/>
        </w:rPr>
        <w:t>三、评分办法—综合评分法</w:t>
      </w:r>
      <w:bookmarkEnd w:id="74"/>
    </w:p>
    <w:p w14:paraId="2EB33879">
      <w:pPr>
        <w:spacing w:line="500" w:lineRule="exact"/>
        <w:ind w:firstLine="480"/>
        <w:jc w:val="left"/>
        <w:rPr>
          <w:rFonts w:hint="eastAsia" w:ascii="宋体" w:hAnsi="宋体" w:cs="宋体"/>
          <w:sz w:val="24"/>
          <w:highlight w:val="none"/>
        </w:rPr>
      </w:pPr>
      <w:r>
        <w:rPr>
          <w:rFonts w:hint="eastAsia" w:ascii="宋体" w:hAnsi="宋体" w:cs="宋体"/>
          <w:sz w:val="24"/>
          <w:highlight w:val="none"/>
        </w:rPr>
        <w:t>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p>
    <w:p w14:paraId="6B03F36D">
      <w:pPr>
        <w:spacing w:line="500" w:lineRule="exact"/>
        <w:ind w:firstLine="480"/>
        <w:jc w:val="left"/>
        <w:rPr>
          <w:rFonts w:hint="eastAsia" w:ascii="宋体" w:hAnsi="宋体" w:cs="宋体"/>
          <w:sz w:val="24"/>
          <w:highlight w:val="none"/>
        </w:rPr>
      </w:pPr>
      <w:r>
        <w:rPr>
          <w:rFonts w:hint="eastAsia" w:ascii="宋体" w:hAnsi="宋体" w:cs="宋体"/>
          <w:sz w:val="24"/>
          <w:highlight w:val="none"/>
        </w:rPr>
        <w:t>评标委员会根据评审后投标人排序推荐中标候选人。投标文件满足招标文件全部实质性要求，且评审后排序第一的投标人为第一中标候选人，依次类推。</w:t>
      </w:r>
    </w:p>
    <w:p w14:paraId="27F3675E">
      <w:pPr>
        <w:spacing w:line="500" w:lineRule="exact"/>
        <w:ind w:firstLine="480"/>
        <w:jc w:val="left"/>
        <w:rPr>
          <w:rFonts w:hint="eastAsia" w:ascii="宋体" w:hAnsi="宋体" w:cs="宋体"/>
          <w:sz w:val="24"/>
          <w:highlight w:val="none"/>
        </w:rPr>
      </w:pPr>
      <w:r>
        <w:rPr>
          <w:rFonts w:hint="eastAsia" w:ascii="宋体" w:hAnsi="宋体" w:cs="宋体"/>
          <w:sz w:val="24"/>
          <w:highlight w:val="none"/>
        </w:rPr>
        <w:t xml:space="preserve">综合评分保留至小数点后两位。 </w:t>
      </w:r>
    </w:p>
    <w:p w14:paraId="57C97921">
      <w:pPr>
        <w:numPr>
          <w:ilvl w:val="0"/>
          <w:numId w:val="9"/>
        </w:numPr>
        <w:spacing w:line="500" w:lineRule="exact"/>
        <w:ind w:firstLine="480"/>
        <w:jc w:val="left"/>
        <w:rPr>
          <w:rFonts w:hint="eastAsia" w:ascii="宋体" w:hAnsi="宋体" w:cs="宋体"/>
          <w:b/>
          <w:bCs/>
          <w:sz w:val="24"/>
          <w:highlight w:val="none"/>
        </w:rPr>
      </w:pPr>
      <w:r>
        <w:rPr>
          <w:rFonts w:hint="eastAsia" w:ascii="宋体" w:hAnsi="宋体" w:cs="宋体"/>
          <w:sz w:val="24"/>
          <w:highlight w:val="none"/>
        </w:rPr>
        <w:t>详细评审。评标委员会按照招标文件规定的评分标准，对各投标文件进行详细评审打分。评标委员会组长对各评审专家的打分情况进行复核无误后汇总，形成评审报告。</w:t>
      </w:r>
    </w:p>
    <w:tbl>
      <w:tblPr>
        <w:tblStyle w:val="34"/>
        <w:tblW w:w="8660" w:type="dxa"/>
        <w:jc w:val="center"/>
        <w:tblLayout w:type="autofit"/>
        <w:tblCellMar>
          <w:top w:w="0" w:type="dxa"/>
          <w:left w:w="108" w:type="dxa"/>
          <w:bottom w:w="0" w:type="dxa"/>
          <w:right w:w="108" w:type="dxa"/>
        </w:tblCellMar>
      </w:tblPr>
      <w:tblGrid>
        <w:gridCol w:w="1060"/>
        <w:gridCol w:w="6520"/>
        <w:gridCol w:w="1080"/>
      </w:tblGrid>
      <w:tr w14:paraId="43D22D79">
        <w:tblPrEx>
          <w:tblCellMar>
            <w:top w:w="0" w:type="dxa"/>
            <w:left w:w="108" w:type="dxa"/>
            <w:bottom w:w="0" w:type="dxa"/>
            <w:right w:w="108" w:type="dxa"/>
          </w:tblCellMar>
        </w:tblPrEx>
        <w:trPr>
          <w:trHeight w:val="285" w:hRule="atLeast"/>
          <w:jc w:val="center"/>
        </w:trPr>
        <w:tc>
          <w:tcPr>
            <w:tcW w:w="1060" w:type="dxa"/>
            <w:tcBorders>
              <w:top w:val="single" w:color="auto" w:sz="4" w:space="0"/>
              <w:left w:val="single" w:color="auto" w:sz="4" w:space="0"/>
              <w:bottom w:val="single" w:color="auto" w:sz="4" w:space="0"/>
              <w:right w:val="single" w:color="auto" w:sz="4" w:space="0"/>
            </w:tcBorders>
            <w:noWrap/>
            <w:vAlign w:val="center"/>
          </w:tcPr>
          <w:p w14:paraId="4962DBEC">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评审因素</w:t>
            </w:r>
          </w:p>
        </w:tc>
        <w:tc>
          <w:tcPr>
            <w:tcW w:w="6520" w:type="dxa"/>
            <w:tcBorders>
              <w:top w:val="single" w:color="auto" w:sz="4" w:space="0"/>
              <w:left w:val="nil"/>
              <w:bottom w:val="single" w:color="auto" w:sz="4" w:space="0"/>
              <w:right w:val="single" w:color="auto" w:sz="4" w:space="0"/>
            </w:tcBorders>
            <w:noWrap w:val="0"/>
            <w:vAlign w:val="center"/>
          </w:tcPr>
          <w:p w14:paraId="484938F5">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评审细则</w:t>
            </w:r>
          </w:p>
        </w:tc>
        <w:tc>
          <w:tcPr>
            <w:tcW w:w="1080" w:type="dxa"/>
            <w:tcBorders>
              <w:top w:val="single" w:color="auto" w:sz="4" w:space="0"/>
              <w:left w:val="nil"/>
              <w:bottom w:val="single" w:color="auto" w:sz="4" w:space="0"/>
              <w:right w:val="single" w:color="auto" w:sz="4" w:space="0"/>
            </w:tcBorders>
            <w:noWrap/>
            <w:vAlign w:val="center"/>
          </w:tcPr>
          <w:p w14:paraId="02CBC0D9">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分值</w:t>
            </w:r>
          </w:p>
        </w:tc>
      </w:tr>
      <w:tr w14:paraId="06901DF2">
        <w:tblPrEx>
          <w:tblCellMar>
            <w:top w:w="0" w:type="dxa"/>
            <w:left w:w="108" w:type="dxa"/>
            <w:bottom w:w="0" w:type="dxa"/>
            <w:right w:w="108" w:type="dxa"/>
          </w:tblCellMar>
        </w:tblPrEx>
        <w:trPr>
          <w:trHeight w:val="1140" w:hRule="atLeast"/>
          <w:jc w:val="center"/>
        </w:trPr>
        <w:tc>
          <w:tcPr>
            <w:tcW w:w="1060" w:type="dxa"/>
            <w:tcBorders>
              <w:top w:val="nil"/>
              <w:left w:val="single" w:color="auto" w:sz="4" w:space="0"/>
              <w:bottom w:val="single" w:color="auto" w:sz="4" w:space="0"/>
              <w:right w:val="single" w:color="auto" w:sz="4" w:space="0"/>
            </w:tcBorders>
            <w:noWrap/>
            <w:vAlign w:val="center"/>
          </w:tcPr>
          <w:p w14:paraId="361C0A2C">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价格</w:t>
            </w:r>
          </w:p>
        </w:tc>
        <w:tc>
          <w:tcPr>
            <w:tcW w:w="6520" w:type="dxa"/>
            <w:tcBorders>
              <w:top w:val="nil"/>
              <w:left w:val="nil"/>
              <w:bottom w:val="single" w:color="auto" w:sz="4" w:space="0"/>
              <w:right w:val="single" w:color="auto" w:sz="4" w:space="0"/>
            </w:tcBorders>
            <w:noWrap w:val="0"/>
            <w:vAlign w:val="center"/>
          </w:tcPr>
          <w:p w14:paraId="34E20030">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进入详细评审的各投标人评标价的最低值为A值，A值为价格分的满分，即10分。其他投标人的价格分统一按照以下公式计算：投标人评标价得分=（A／该投标人评标价）×10。（保留小数点后两位）</w:t>
            </w:r>
          </w:p>
        </w:tc>
        <w:tc>
          <w:tcPr>
            <w:tcW w:w="1080" w:type="dxa"/>
            <w:tcBorders>
              <w:top w:val="nil"/>
              <w:left w:val="nil"/>
              <w:bottom w:val="single" w:color="auto" w:sz="4" w:space="0"/>
              <w:right w:val="single" w:color="auto" w:sz="4" w:space="0"/>
            </w:tcBorders>
            <w:noWrap/>
            <w:vAlign w:val="center"/>
          </w:tcPr>
          <w:p w14:paraId="74623BC1">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10</w:t>
            </w:r>
          </w:p>
        </w:tc>
      </w:tr>
      <w:tr w14:paraId="3FAD5F75">
        <w:tblPrEx>
          <w:tblCellMar>
            <w:top w:w="0" w:type="dxa"/>
            <w:left w:w="108" w:type="dxa"/>
            <w:bottom w:w="0" w:type="dxa"/>
            <w:right w:w="108" w:type="dxa"/>
          </w:tblCellMar>
        </w:tblPrEx>
        <w:trPr>
          <w:trHeight w:val="2280" w:hRule="atLeast"/>
          <w:jc w:val="center"/>
        </w:trPr>
        <w:tc>
          <w:tcPr>
            <w:tcW w:w="1060" w:type="dxa"/>
            <w:tcBorders>
              <w:top w:val="nil"/>
              <w:left w:val="single" w:color="auto" w:sz="4" w:space="0"/>
              <w:bottom w:val="single" w:color="auto" w:sz="4" w:space="0"/>
              <w:right w:val="single" w:color="auto" w:sz="4" w:space="0"/>
            </w:tcBorders>
            <w:noWrap/>
            <w:vAlign w:val="center"/>
          </w:tcPr>
          <w:p w14:paraId="57E8ED21">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技术要求</w:t>
            </w:r>
          </w:p>
        </w:tc>
        <w:tc>
          <w:tcPr>
            <w:tcW w:w="6520" w:type="dxa"/>
            <w:tcBorders>
              <w:top w:val="nil"/>
              <w:left w:val="nil"/>
              <w:bottom w:val="single" w:color="auto" w:sz="4" w:space="0"/>
              <w:right w:val="single" w:color="auto" w:sz="4" w:space="0"/>
            </w:tcBorders>
            <w:noWrap w:val="0"/>
            <w:vAlign w:val="center"/>
          </w:tcPr>
          <w:p w14:paraId="1306E84A">
            <w:pPr>
              <w:widowControl/>
              <w:snapToGrid w:val="0"/>
              <w:jc w:val="left"/>
              <w:rPr>
                <w:rFonts w:hint="eastAsia" w:cs="宋体"/>
                <w:b w:val="0"/>
                <w:bCs w:val="0"/>
                <w:color w:val="000000"/>
                <w:sz w:val="21"/>
                <w:szCs w:val="21"/>
                <w:highlight w:val="none"/>
              </w:rPr>
            </w:pPr>
            <w:r>
              <w:rPr>
                <w:rFonts w:hint="eastAsia" w:cs="宋体"/>
                <w:b w:val="0"/>
                <w:bCs w:val="0"/>
                <w:color w:val="000000"/>
                <w:sz w:val="21"/>
                <w:szCs w:val="21"/>
                <w:highlight w:val="none"/>
              </w:rPr>
              <w:t>投标人对招标文件具体需求的响应程度能够满足招标文件第四章项目需求二、技术要求部分中“</w:t>
            </w:r>
            <w:r>
              <w:rPr>
                <w:rFonts w:hint="eastAsia"/>
                <w:b w:val="0"/>
                <w:bCs w:val="0"/>
                <w:sz w:val="21"/>
                <w:szCs w:val="21"/>
                <w:highlight w:val="none"/>
              </w:rPr>
              <w:t>维保要求</w:t>
            </w:r>
            <w:r>
              <w:rPr>
                <w:rFonts w:hint="eastAsia" w:cs="宋体"/>
                <w:b w:val="0"/>
                <w:bCs w:val="0"/>
                <w:color w:val="000000"/>
                <w:sz w:val="21"/>
                <w:szCs w:val="21"/>
                <w:highlight w:val="none"/>
              </w:rPr>
              <w:t>”的得</w:t>
            </w:r>
            <w:r>
              <w:rPr>
                <w:rFonts w:hint="eastAsia" w:cs="宋体"/>
                <w:b w:val="0"/>
                <w:bCs w:val="0"/>
                <w:color w:val="000000"/>
                <w:sz w:val="21"/>
                <w:szCs w:val="21"/>
                <w:highlight w:val="none"/>
                <w:lang w:val="en-US" w:eastAsia="zh-CN"/>
              </w:rPr>
              <w:t>26</w:t>
            </w:r>
            <w:r>
              <w:rPr>
                <w:rFonts w:hint="eastAsia" w:cs="宋体"/>
                <w:b w:val="0"/>
                <w:bCs w:val="0"/>
                <w:color w:val="000000"/>
                <w:sz w:val="21"/>
                <w:szCs w:val="21"/>
                <w:highlight w:val="none"/>
              </w:rPr>
              <w:t>分，</w:t>
            </w:r>
          </w:p>
          <w:p w14:paraId="15F5795E">
            <w:pPr>
              <w:numPr>
                <w:ilvl w:val="0"/>
                <w:numId w:val="10"/>
              </w:num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普通参数共计</w:t>
            </w:r>
            <w:r>
              <w:rPr>
                <w:rFonts w:hint="eastAsia" w:ascii="宋体" w:hAnsi="宋体" w:cs="宋体"/>
                <w:b w:val="0"/>
                <w:bCs w:val="0"/>
                <w:color w:val="auto"/>
                <w:sz w:val="21"/>
                <w:szCs w:val="21"/>
                <w:highlight w:val="none"/>
                <w:shd w:val="clear" w:color="auto" w:fill="auto"/>
                <w:lang w:val="en-US" w:eastAsia="zh-CN"/>
              </w:rPr>
              <w:t>10</w:t>
            </w:r>
            <w:r>
              <w:rPr>
                <w:rFonts w:hint="eastAsia" w:ascii="宋体" w:hAnsi="宋体" w:eastAsia="宋体" w:cs="宋体"/>
                <w:b w:val="0"/>
                <w:bCs w:val="0"/>
                <w:color w:val="auto"/>
                <w:sz w:val="21"/>
                <w:szCs w:val="21"/>
                <w:highlight w:val="none"/>
                <w:shd w:val="clear" w:color="auto" w:fill="auto"/>
                <w:lang w:val="en-US" w:eastAsia="zh-CN"/>
              </w:rPr>
              <w:t>项目；</w:t>
            </w:r>
          </w:p>
          <w:p w14:paraId="3768C627">
            <w:pPr>
              <w:numPr>
                <w:ilvl w:val="0"/>
                <w:numId w:val="10"/>
              </w:numPr>
              <w:adjustRightInd w:val="0"/>
              <w:snapToGrid w:val="0"/>
              <w:spacing w:line="440" w:lineRule="exact"/>
              <w:ind w:left="0" w:leftChars="0"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标记▲参数为重要参数，共计</w:t>
            </w:r>
            <w:r>
              <w:rPr>
                <w:rFonts w:hint="eastAsia" w:ascii="宋体" w:hAnsi="宋体" w:cs="宋体"/>
                <w:b w:val="0"/>
                <w:bCs w:val="0"/>
                <w:color w:val="auto"/>
                <w:sz w:val="21"/>
                <w:szCs w:val="21"/>
                <w:highlight w:val="none"/>
                <w:shd w:val="clear" w:color="auto" w:fill="auto"/>
                <w:lang w:val="en-US" w:eastAsia="zh-CN"/>
              </w:rPr>
              <w:t>2</w:t>
            </w:r>
            <w:r>
              <w:rPr>
                <w:rFonts w:hint="eastAsia" w:ascii="宋体" w:hAnsi="宋体" w:eastAsia="宋体" w:cs="宋体"/>
                <w:b w:val="0"/>
                <w:bCs w:val="0"/>
                <w:color w:val="auto"/>
                <w:sz w:val="21"/>
                <w:szCs w:val="21"/>
                <w:highlight w:val="none"/>
                <w:shd w:val="clear" w:color="auto" w:fill="auto"/>
                <w:lang w:val="en-US" w:eastAsia="zh-CN"/>
              </w:rPr>
              <w:t>项；</w:t>
            </w:r>
          </w:p>
          <w:p w14:paraId="7B3D8B6E">
            <w:pPr>
              <w:numPr>
                <w:ilvl w:val="0"/>
                <w:numId w:val="10"/>
              </w:numPr>
              <w:adjustRightInd w:val="0"/>
              <w:snapToGrid w:val="0"/>
              <w:spacing w:line="440" w:lineRule="exact"/>
              <w:ind w:left="0" w:leftChars="0"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标记★参数为实质性参数，共计2项；</w:t>
            </w:r>
          </w:p>
          <w:p w14:paraId="70C065DC">
            <w:p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普通参数每有一项负偏离扣</w:t>
            </w:r>
            <w:r>
              <w:rPr>
                <w:rFonts w:hint="eastAsia" w:ascii="宋体" w:hAnsi="宋体" w:cs="宋体"/>
                <w:b w:val="0"/>
                <w:bCs w:val="0"/>
                <w:color w:val="auto"/>
                <w:sz w:val="21"/>
                <w:szCs w:val="21"/>
                <w:highlight w:val="none"/>
                <w:shd w:val="clear" w:color="auto" w:fill="auto"/>
                <w:lang w:val="en-US" w:eastAsia="zh-CN"/>
              </w:rPr>
              <w:t>2</w:t>
            </w:r>
            <w:r>
              <w:rPr>
                <w:rFonts w:hint="eastAsia" w:ascii="宋体" w:hAnsi="宋体" w:eastAsia="宋体" w:cs="宋体"/>
                <w:b w:val="0"/>
                <w:bCs w:val="0"/>
                <w:color w:val="auto"/>
                <w:sz w:val="21"/>
                <w:szCs w:val="21"/>
                <w:highlight w:val="none"/>
                <w:shd w:val="clear" w:color="auto" w:fill="auto"/>
                <w:lang w:val="en-US" w:eastAsia="zh-CN"/>
              </w:rPr>
              <w:t>分，满分</w:t>
            </w:r>
            <w:r>
              <w:rPr>
                <w:rFonts w:hint="eastAsia" w:ascii="宋体" w:hAnsi="宋体" w:cs="宋体"/>
                <w:b w:val="0"/>
                <w:bCs w:val="0"/>
                <w:color w:val="auto"/>
                <w:sz w:val="21"/>
                <w:szCs w:val="21"/>
                <w:highlight w:val="none"/>
                <w:shd w:val="clear" w:color="auto" w:fill="auto"/>
                <w:lang w:val="en-US" w:eastAsia="zh-CN"/>
              </w:rPr>
              <w:t>20</w:t>
            </w:r>
            <w:r>
              <w:rPr>
                <w:rFonts w:hint="eastAsia" w:ascii="宋体" w:hAnsi="宋体" w:eastAsia="宋体" w:cs="宋体"/>
                <w:b w:val="0"/>
                <w:bCs w:val="0"/>
                <w:color w:val="auto"/>
                <w:sz w:val="21"/>
                <w:szCs w:val="21"/>
                <w:highlight w:val="none"/>
                <w:shd w:val="clear" w:color="auto" w:fill="auto"/>
                <w:lang w:val="en-US" w:eastAsia="zh-CN"/>
              </w:rPr>
              <w:t>分。</w:t>
            </w:r>
          </w:p>
          <w:p w14:paraId="205C3076">
            <w:p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带▲参数每有一项负偏离扣</w:t>
            </w:r>
            <w:r>
              <w:rPr>
                <w:rFonts w:hint="eastAsia" w:ascii="宋体" w:hAnsi="宋体" w:cs="宋体"/>
                <w:b w:val="0"/>
                <w:bCs w:val="0"/>
                <w:color w:val="auto"/>
                <w:sz w:val="21"/>
                <w:szCs w:val="21"/>
                <w:highlight w:val="none"/>
                <w:shd w:val="clear" w:color="auto" w:fill="auto"/>
                <w:lang w:val="en-US" w:eastAsia="zh-CN"/>
              </w:rPr>
              <w:t>3</w:t>
            </w:r>
            <w:r>
              <w:rPr>
                <w:rFonts w:hint="eastAsia" w:ascii="宋体" w:hAnsi="宋体" w:eastAsia="宋体" w:cs="宋体"/>
                <w:b w:val="0"/>
                <w:bCs w:val="0"/>
                <w:color w:val="auto"/>
                <w:sz w:val="21"/>
                <w:szCs w:val="21"/>
                <w:highlight w:val="none"/>
                <w:shd w:val="clear" w:color="auto" w:fill="auto"/>
                <w:lang w:val="en-US" w:eastAsia="zh-CN"/>
              </w:rPr>
              <w:t>分，满分</w:t>
            </w:r>
            <w:r>
              <w:rPr>
                <w:rFonts w:hint="eastAsia" w:ascii="宋体" w:hAnsi="宋体" w:cs="宋体"/>
                <w:b w:val="0"/>
                <w:bCs w:val="0"/>
                <w:color w:val="auto"/>
                <w:sz w:val="21"/>
                <w:szCs w:val="21"/>
                <w:highlight w:val="none"/>
                <w:shd w:val="clear" w:color="auto" w:fill="auto"/>
                <w:lang w:val="en-US" w:eastAsia="zh-CN"/>
              </w:rPr>
              <w:t>6</w:t>
            </w:r>
            <w:r>
              <w:rPr>
                <w:rFonts w:hint="eastAsia" w:ascii="宋体" w:hAnsi="宋体" w:eastAsia="宋体" w:cs="宋体"/>
                <w:b w:val="0"/>
                <w:bCs w:val="0"/>
                <w:color w:val="auto"/>
                <w:sz w:val="21"/>
                <w:szCs w:val="21"/>
                <w:highlight w:val="none"/>
                <w:shd w:val="clear" w:color="auto" w:fill="auto"/>
                <w:lang w:val="en-US" w:eastAsia="zh-CN"/>
              </w:rPr>
              <w:t>分。</w:t>
            </w:r>
          </w:p>
          <w:p w14:paraId="4701A5A7">
            <w:p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shd w:val="clear" w:color="auto" w:fill="auto"/>
              </w:rPr>
              <w:t>参数不允许负偏离</w:t>
            </w: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lang w:val="en-US" w:eastAsia="zh-CN"/>
              </w:rPr>
              <w:t>带★参数有一项负偏离视为无效文件。</w:t>
            </w:r>
          </w:p>
          <w:p w14:paraId="35E4F66A">
            <w:pPr>
              <w:adjustRightInd w:val="0"/>
              <w:snapToGrid w:val="0"/>
              <w:spacing w:before="156" w:beforeLines="50" w:line="440" w:lineRule="exact"/>
              <w:rPr>
                <w:rFonts w:hint="eastAsia" w:eastAsia="宋体"/>
                <w:b w:val="0"/>
                <w:bCs w:val="0"/>
                <w:sz w:val="21"/>
                <w:szCs w:val="21"/>
                <w:highlight w:val="none"/>
                <w:lang w:eastAsia="zh-CN"/>
              </w:rPr>
            </w:pPr>
            <w:r>
              <w:rPr>
                <w:rFonts w:hint="eastAsia" w:ascii="宋体" w:hAnsi="宋体" w:eastAsia="宋体" w:cs="宋体"/>
                <w:b w:val="0"/>
                <w:bCs w:val="0"/>
                <w:color w:val="auto"/>
                <w:sz w:val="21"/>
                <w:szCs w:val="21"/>
                <w:highlight w:val="none"/>
                <w:shd w:val="clear" w:color="auto" w:fill="auto"/>
              </w:rPr>
              <w:t>注：</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shd w:val="clear" w:color="auto" w:fill="auto"/>
              </w:rPr>
              <w:t>参数不允许负偏离，</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shd w:val="clear" w:color="auto" w:fill="auto"/>
              </w:rPr>
              <w:t>、▲号参数需要提供技术支撑材料</w:t>
            </w:r>
            <w:r>
              <w:rPr>
                <w:rFonts w:hint="eastAsia" w:ascii="宋体" w:hAnsi="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rPr>
              <w:t>未提供证明材料的视为负偏离。</w:t>
            </w:r>
            <w:r>
              <w:rPr>
                <w:rFonts w:hint="eastAsia" w:ascii="宋体" w:hAnsi="宋体" w:cs="宋体"/>
                <w:b w:val="0"/>
                <w:bCs w:val="0"/>
                <w:color w:val="auto"/>
                <w:sz w:val="21"/>
                <w:szCs w:val="21"/>
                <w:highlight w:val="none"/>
                <w:shd w:val="clear" w:color="auto" w:fill="auto"/>
                <w:lang w:eastAsia="zh-CN"/>
              </w:rPr>
              <w:t>（</w:t>
            </w:r>
            <w:r>
              <w:rPr>
                <w:rFonts w:hint="eastAsia" w:ascii="宋体" w:hAnsi="宋体" w:cs="宋体"/>
                <w:b w:val="0"/>
                <w:bCs w:val="0"/>
                <w:color w:val="auto"/>
                <w:sz w:val="21"/>
                <w:szCs w:val="21"/>
                <w:highlight w:val="none"/>
                <w:shd w:val="clear" w:color="auto" w:fill="auto"/>
                <w:lang w:val="en-US" w:eastAsia="zh-CN"/>
              </w:rPr>
              <w:t>技术支撑材料为招标文件所要求的证明材料</w:t>
            </w:r>
            <w:r>
              <w:rPr>
                <w:rFonts w:hint="eastAsia" w:ascii="宋体" w:hAnsi="宋体" w:cs="宋体"/>
                <w:b w:val="0"/>
                <w:bCs w:val="0"/>
                <w:color w:val="auto"/>
                <w:sz w:val="21"/>
                <w:szCs w:val="21"/>
                <w:highlight w:val="none"/>
                <w:shd w:val="clear" w:color="auto" w:fill="auto"/>
                <w:lang w:eastAsia="zh-CN"/>
              </w:rPr>
              <w:t>）</w:t>
            </w:r>
          </w:p>
          <w:p w14:paraId="25DB2D07">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cs="宋体"/>
                <w:b w:val="0"/>
                <w:bCs w:val="0"/>
                <w:color w:val="000000"/>
                <w:sz w:val="21"/>
                <w:szCs w:val="21"/>
                <w:highlight w:val="none"/>
              </w:rPr>
              <w:t>（供应商需在“技术及商务要求响应及偏离表”中如实逐项填列所提供的技术及服务承诺，并按招标文件要求提供相应证明材料。供应商应在偏离表中注明证明材料所在投标文件的页码位置，否则评审小组有权做负偏离处理）</w:t>
            </w:r>
          </w:p>
        </w:tc>
        <w:tc>
          <w:tcPr>
            <w:tcW w:w="1080" w:type="dxa"/>
            <w:tcBorders>
              <w:top w:val="nil"/>
              <w:left w:val="nil"/>
              <w:bottom w:val="single" w:color="auto" w:sz="4" w:space="0"/>
              <w:right w:val="single" w:color="auto" w:sz="4" w:space="0"/>
            </w:tcBorders>
            <w:noWrap/>
            <w:vAlign w:val="center"/>
          </w:tcPr>
          <w:p w14:paraId="00EC9407">
            <w:pPr>
              <w:widowControl/>
              <w:jc w:val="center"/>
              <w:rPr>
                <w:rFonts w:hint="default" w:asciiTheme="minorEastAsia" w:hAnsiTheme="minorEastAsia" w:eastAsiaTheme="minorEastAsia" w:cstheme="minorEastAsia"/>
                <w:color w:val="000000" w:themeColor="text1"/>
                <w:sz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26</w:t>
            </w:r>
          </w:p>
        </w:tc>
      </w:tr>
      <w:tr w14:paraId="745174F0">
        <w:tblPrEx>
          <w:tblCellMar>
            <w:top w:w="0" w:type="dxa"/>
            <w:left w:w="108" w:type="dxa"/>
            <w:bottom w:w="0" w:type="dxa"/>
            <w:right w:w="108" w:type="dxa"/>
          </w:tblCellMar>
        </w:tblPrEx>
        <w:trPr>
          <w:trHeight w:val="570" w:hRule="atLeast"/>
          <w:jc w:val="center"/>
        </w:trPr>
        <w:tc>
          <w:tcPr>
            <w:tcW w:w="1060" w:type="dxa"/>
            <w:tcBorders>
              <w:top w:val="nil"/>
              <w:left w:val="single" w:color="auto" w:sz="4" w:space="0"/>
              <w:bottom w:val="single" w:color="auto" w:sz="4" w:space="0"/>
              <w:right w:val="single" w:color="auto" w:sz="4" w:space="0"/>
            </w:tcBorders>
            <w:noWrap/>
            <w:vAlign w:val="center"/>
          </w:tcPr>
          <w:p w14:paraId="30A3B626">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体系认证</w:t>
            </w:r>
          </w:p>
        </w:tc>
        <w:tc>
          <w:tcPr>
            <w:tcW w:w="6520" w:type="dxa"/>
            <w:tcBorders>
              <w:top w:val="nil"/>
              <w:left w:val="nil"/>
              <w:bottom w:val="single" w:color="auto" w:sz="4" w:space="0"/>
              <w:right w:val="single" w:color="auto" w:sz="4" w:space="0"/>
            </w:tcBorders>
            <w:noWrap w:val="0"/>
            <w:vAlign w:val="center"/>
          </w:tcPr>
          <w:p w14:paraId="7CC55B54">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投标人</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具有ISO13485医疗器械质量管理体系的得3分，未提供或提供的资料不全不得分。</w:t>
            </w:r>
          </w:p>
        </w:tc>
        <w:tc>
          <w:tcPr>
            <w:tcW w:w="1080" w:type="dxa"/>
            <w:tcBorders>
              <w:top w:val="nil"/>
              <w:left w:val="nil"/>
              <w:bottom w:val="single" w:color="auto" w:sz="4" w:space="0"/>
              <w:right w:val="single" w:color="auto" w:sz="4" w:space="0"/>
            </w:tcBorders>
            <w:noWrap/>
            <w:vAlign w:val="center"/>
          </w:tcPr>
          <w:p w14:paraId="7355362C">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3</w:t>
            </w:r>
          </w:p>
        </w:tc>
      </w:tr>
      <w:tr w14:paraId="2CED35EE">
        <w:tblPrEx>
          <w:tblCellMar>
            <w:top w:w="0" w:type="dxa"/>
            <w:left w:w="108" w:type="dxa"/>
            <w:bottom w:w="0" w:type="dxa"/>
            <w:right w:w="108" w:type="dxa"/>
          </w:tblCellMar>
        </w:tblPrEx>
        <w:trPr>
          <w:trHeight w:val="4845" w:hRule="atLeast"/>
          <w:jc w:val="center"/>
        </w:trPr>
        <w:tc>
          <w:tcPr>
            <w:tcW w:w="1060" w:type="dxa"/>
            <w:tcBorders>
              <w:top w:val="nil"/>
              <w:left w:val="single" w:color="auto" w:sz="4" w:space="0"/>
              <w:bottom w:val="single" w:color="auto" w:sz="4" w:space="0"/>
              <w:right w:val="single" w:color="auto" w:sz="4" w:space="0"/>
            </w:tcBorders>
            <w:noWrap/>
            <w:vAlign w:val="center"/>
          </w:tcPr>
          <w:p w14:paraId="3A51B78D">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企业实力</w:t>
            </w:r>
          </w:p>
        </w:tc>
        <w:tc>
          <w:tcPr>
            <w:tcW w:w="6520" w:type="dxa"/>
            <w:tcBorders>
              <w:top w:val="nil"/>
              <w:left w:val="nil"/>
              <w:bottom w:val="single" w:color="auto" w:sz="4" w:space="0"/>
              <w:right w:val="single" w:color="auto" w:sz="4" w:space="0"/>
            </w:tcBorders>
            <w:noWrap w:val="0"/>
            <w:vAlign w:val="center"/>
          </w:tcPr>
          <w:p w14:paraId="2770A7E2">
            <w:pPr>
              <w:widowControl/>
              <w:numPr>
                <w:ilvl w:val="0"/>
                <w:numId w:val="11"/>
              </w:numPr>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维保技术能力（10分）：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投标人具有本项目设备维修保养设备能力的工程师（提供与本项目相关的工程师资质证明材料，并提供投标人近三个月中任一个月为其缴纳的社保证明）。工程师每有一人得2分，最多得10分。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2.工具配置及零配件储备情况：（</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投标人具有全套维修工具，并提供适用于本设备型号的相关维修工具图片；未提供不得分。（</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投标人国内设有零备件库，提供仓库地址，并提供租赁合同或产权证明材料，未提供不得分。（</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分）（投标人如为具备厂家授权的代理商，或者与生产厂家签署维修服务合作协议的可使用厂家零备件库）</w:t>
            </w:r>
          </w:p>
          <w:p w14:paraId="692975C3">
            <w:pPr>
              <w:widowControl/>
              <w:numPr>
                <w:ilvl w:val="0"/>
                <w:numId w:val="0"/>
              </w:numPr>
              <w:ind w:leftChars="0"/>
              <w:jc w:val="left"/>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3.维修证书（4分）</w:t>
            </w:r>
          </w:p>
          <w:p w14:paraId="379DB92C">
            <w:pPr>
              <w:widowControl/>
              <w:numPr>
                <w:ilvl w:val="0"/>
                <w:numId w:val="0"/>
              </w:numPr>
              <w:ind w:leftChars="0"/>
              <w:jc w:val="left"/>
              <w:rPr>
                <w:rFonts w:hint="default" w:asciiTheme="minorEastAsia" w:hAnsiTheme="minorEastAsia" w:eastAsiaTheme="minorEastAsia" w:cstheme="minorEastAsia"/>
                <w:color w:val="000000" w:themeColor="text1"/>
                <w:sz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投标人持有设备制造商出具的有效期内类似本项目设备维修证书，每提供一份得2分，满分4分。（提供维修证书扫描件）</w:t>
            </w:r>
          </w:p>
        </w:tc>
        <w:tc>
          <w:tcPr>
            <w:tcW w:w="1080" w:type="dxa"/>
            <w:tcBorders>
              <w:top w:val="nil"/>
              <w:left w:val="nil"/>
              <w:bottom w:val="single" w:color="auto" w:sz="4" w:space="0"/>
              <w:right w:val="single" w:color="auto" w:sz="4" w:space="0"/>
            </w:tcBorders>
            <w:noWrap/>
            <w:vAlign w:val="center"/>
          </w:tcPr>
          <w:p w14:paraId="31222065">
            <w:pPr>
              <w:widowControl/>
              <w:jc w:val="center"/>
              <w:rPr>
                <w:rFonts w:hint="default" w:asciiTheme="minorEastAsia" w:hAnsiTheme="minorEastAsia" w:eastAsiaTheme="minorEastAsia" w:cstheme="minorEastAsia"/>
                <w:color w:val="000000" w:themeColor="text1"/>
                <w:sz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22</w:t>
            </w:r>
          </w:p>
        </w:tc>
      </w:tr>
      <w:tr w14:paraId="3B864F3F">
        <w:tblPrEx>
          <w:tblCellMar>
            <w:top w:w="0" w:type="dxa"/>
            <w:left w:w="108" w:type="dxa"/>
            <w:bottom w:w="0" w:type="dxa"/>
            <w:right w:w="108" w:type="dxa"/>
          </w:tblCellMar>
        </w:tblPrEx>
        <w:trPr>
          <w:trHeight w:val="3990" w:hRule="atLeast"/>
          <w:jc w:val="center"/>
        </w:trPr>
        <w:tc>
          <w:tcPr>
            <w:tcW w:w="1060" w:type="dxa"/>
            <w:tcBorders>
              <w:top w:val="nil"/>
              <w:left w:val="single" w:color="auto" w:sz="4" w:space="0"/>
              <w:bottom w:val="single" w:color="auto" w:sz="4" w:space="0"/>
              <w:right w:val="single" w:color="auto" w:sz="4" w:space="0"/>
            </w:tcBorders>
            <w:noWrap/>
            <w:vAlign w:val="center"/>
          </w:tcPr>
          <w:p w14:paraId="5760DDED">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服务方案</w:t>
            </w:r>
          </w:p>
        </w:tc>
        <w:tc>
          <w:tcPr>
            <w:tcW w:w="6520" w:type="dxa"/>
            <w:tcBorders>
              <w:top w:val="nil"/>
              <w:left w:val="nil"/>
              <w:bottom w:val="single" w:color="auto" w:sz="4" w:space="0"/>
              <w:right w:val="single" w:color="auto" w:sz="4" w:space="0"/>
            </w:tcBorders>
            <w:noWrap w:val="0"/>
            <w:vAlign w:val="center"/>
          </w:tcPr>
          <w:p w14:paraId="30265E5D">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（1）提供合理的维保计划表、维保人员安排并承诺中标后按此执行（</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 xml:space="preserve">a. 维保计划表及维保人员安排详细、具体、明确，对关键内容表述清晰完整，实施路径清晰可行，可操作性强的得 </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 xml:space="preserve">b. 维保计划表及维保人员安排较为详细和具体，关键内容表述清晰完整，实施路径较为明确，可操作性较强的得 </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 xml:space="preserve">分； </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 xml:space="preserve">c. 维保计划表及维保人员安排较为简单，但内容基本完整，关键内容表述较清晰，实施路径基本明确，可操作性一般的得 2分； </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 xml:space="preserve">d. 维保计划表及维保人员安排描述不完整，对关键内容表述基本清晰但存在不足，实施路径不够清晰或存在一定缺陷，可操作性较弱，实施存在一定困难的，得 1 分； </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e. 未提供维保计划表及维保人员安排，或内容极度简略、空洞，无法体现关键内容与实施路径的，得 0 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其余情况或未提供的不得分。</w:t>
            </w:r>
          </w:p>
        </w:tc>
        <w:tc>
          <w:tcPr>
            <w:tcW w:w="1080" w:type="dxa"/>
            <w:tcBorders>
              <w:top w:val="nil"/>
              <w:left w:val="nil"/>
              <w:bottom w:val="single" w:color="auto" w:sz="4" w:space="0"/>
              <w:right w:val="single" w:color="auto" w:sz="4" w:space="0"/>
            </w:tcBorders>
            <w:noWrap/>
            <w:vAlign w:val="center"/>
          </w:tcPr>
          <w:p w14:paraId="13813594">
            <w:pPr>
              <w:widowControl/>
              <w:jc w:val="cente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p>
        </w:tc>
      </w:tr>
      <w:tr w14:paraId="15154665">
        <w:tblPrEx>
          <w:tblCellMar>
            <w:top w:w="0" w:type="dxa"/>
            <w:left w:w="108" w:type="dxa"/>
            <w:bottom w:w="0" w:type="dxa"/>
            <w:right w:w="108" w:type="dxa"/>
          </w:tblCellMar>
        </w:tblPrEx>
        <w:trPr>
          <w:trHeight w:val="3135" w:hRule="atLeast"/>
          <w:jc w:val="center"/>
        </w:trPr>
        <w:tc>
          <w:tcPr>
            <w:tcW w:w="1060" w:type="dxa"/>
            <w:tcBorders>
              <w:top w:val="nil"/>
              <w:left w:val="single" w:color="auto" w:sz="4" w:space="0"/>
              <w:bottom w:val="single" w:color="auto" w:sz="4" w:space="0"/>
              <w:right w:val="single" w:color="auto" w:sz="4" w:space="0"/>
            </w:tcBorders>
            <w:noWrap/>
            <w:vAlign w:val="center"/>
          </w:tcPr>
          <w:p w14:paraId="7A9720A6">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　</w:t>
            </w:r>
          </w:p>
        </w:tc>
        <w:tc>
          <w:tcPr>
            <w:tcW w:w="6520" w:type="dxa"/>
            <w:tcBorders>
              <w:top w:val="nil"/>
              <w:left w:val="nil"/>
              <w:bottom w:val="single" w:color="auto" w:sz="4" w:space="0"/>
              <w:right w:val="single" w:color="auto" w:sz="4" w:space="0"/>
            </w:tcBorders>
            <w:noWrap w:val="0"/>
            <w:vAlign w:val="center"/>
          </w:tcPr>
          <w:p w14:paraId="1B6DCB0D">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（2）应急预案：供应商须有能力应对突发事件应急预案，包括但不仅限于遭遇恶劣天气，医院临时要求等突发事件，根据应答情况评审（</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a.方案全面、合理，具有针对性，科学合理且具备突出可执行性的，得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b.方案较为全面合理，具备良好可执行性，但个别环节的针对性或深度略有不足，得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c.方案考虑相对不够全面，但依旧具备基本可行性的，得2分；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d.方案不全面、主要环节存在缺失或明显不合理，可执行性较弱的，得1分。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e.未提供服务方案的不得分。</w:t>
            </w:r>
          </w:p>
        </w:tc>
        <w:tc>
          <w:tcPr>
            <w:tcW w:w="1080" w:type="dxa"/>
            <w:tcBorders>
              <w:top w:val="nil"/>
              <w:left w:val="nil"/>
              <w:bottom w:val="single" w:color="auto" w:sz="4" w:space="0"/>
              <w:right w:val="single" w:color="auto" w:sz="4" w:space="0"/>
            </w:tcBorders>
            <w:noWrap/>
            <w:vAlign w:val="center"/>
          </w:tcPr>
          <w:p w14:paraId="33AF8310">
            <w:pPr>
              <w:widowControl/>
              <w:jc w:val="cente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p>
        </w:tc>
      </w:tr>
      <w:tr w14:paraId="4A5E352F">
        <w:tblPrEx>
          <w:tblCellMar>
            <w:top w:w="0" w:type="dxa"/>
            <w:left w:w="108" w:type="dxa"/>
            <w:bottom w:w="0" w:type="dxa"/>
            <w:right w:w="108" w:type="dxa"/>
          </w:tblCellMar>
        </w:tblPrEx>
        <w:trPr>
          <w:trHeight w:val="2850" w:hRule="atLeast"/>
          <w:jc w:val="center"/>
        </w:trPr>
        <w:tc>
          <w:tcPr>
            <w:tcW w:w="1060" w:type="dxa"/>
            <w:tcBorders>
              <w:top w:val="nil"/>
              <w:left w:val="single" w:color="auto" w:sz="4" w:space="0"/>
              <w:bottom w:val="single" w:color="auto" w:sz="4" w:space="0"/>
              <w:right w:val="single" w:color="auto" w:sz="4" w:space="0"/>
            </w:tcBorders>
            <w:noWrap/>
            <w:vAlign w:val="center"/>
          </w:tcPr>
          <w:p w14:paraId="4810040B">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　</w:t>
            </w:r>
          </w:p>
        </w:tc>
        <w:tc>
          <w:tcPr>
            <w:tcW w:w="6520" w:type="dxa"/>
            <w:tcBorders>
              <w:top w:val="nil"/>
              <w:left w:val="nil"/>
              <w:bottom w:val="single" w:color="auto" w:sz="4" w:space="0"/>
              <w:right w:val="single" w:color="auto" w:sz="4" w:space="0"/>
            </w:tcBorders>
            <w:noWrap w:val="0"/>
            <w:vAlign w:val="center"/>
          </w:tcPr>
          <w:p w14:paraId="3D899D2C">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（3）质量管控：供应商须有一系列保证服务质量的制度、实施方案和考核办法，根据应答情况评审（</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a.方案全面、合理，具有针对性，科学合理且具备突出可执行性的，得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b.方案较为全面合理，具备良好可执行性，但个别环节的针对性或深度略有不足，得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c.方案考虑相对不够全面，但依旧具备基本可行性的，得2分；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d.方案不全面、主要环节存在缺失或明显不合理，可执行性较弱的，得1分。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e.未提供服务方案的不得分。</w:t>
            </w:r>
          </w:p>
        </w:tc>
        <w:tc>
          <w:tcPr>
            <w:tcW w:w="1080" w:type="dxa"/>
            <w:tcBorders>
              <w:top w:val="nil"/>
              <w:left w:val="nil"/>
              <w:bottom w:val="single" w:color="auto" w:sz="4" w:space="0"/>
              <w:right w:val="single" w:color="auto" w:sz="4" w:space="0"/>
            </w:tcBorders>
            <w:noWrap/>
            <w:vAlign w:val="center"/>
          </w:tcPr>
          <w:p w14:paraId="76BC6357">
            <w:pPr>
              <w:widowControl/>
              <w:jc w:val="cente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p>
        </w:tc>
      </w:tr>
      <w:tr w14:paraId="5F5CA1A9">
        <w:tblPrEx>
          <w:tblCellMar>
            <w:top w:w="0" w:type="dxa"/>
            <w:left w:w="108" w:type="dxa"/>
            <w:bottom w:w="0" w:type="dxa"/>
            <w:right w:w="108" w:type="dxa"/>
          </w:tblCellMar>
        </w:tblPrEx>
        <w:trPr>
          <w:trHeight w:val="2850" w:hRule="atLeast"/>
          <w:jc w:val="center"/>
        </w:trPr>
        <w:tc>
          <w:tcPr>
            <w:tcW w:w="1060" w:type="dxa"/>
            <w:tcBorders>
              <w:top w:val="nil"/>
              <w:left w:val="single" w:color="auto" w:sz="4" w:space="0"/>
              <w:bottom w:val="single" w:color="auto" w:sz="4" w:space="0"/>
              <w:right w:val="single" w:color="auto" w:sz="4" w:space="0"/>
            </w:tcBorders>
            <w:noWrap/>
            <w:vAlign w:val="center"/>
          </w:tcPr>
          <w:p w14:paraId="02B26D29">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　</w:t>
            </w:r>
          </w:p>
        </w:tc>
        <w:tc>
          <w:tcPr>
            <w:tcW w:w="6520" w:type="dxa"/>
            <w:tcBorders>
              <w:top w:val="nil"/>
              <w:left w:val="nil"/>
              <w:bottom w:val="single" w:color="auto" w:sz="4" w:space="0"/>
              <w:right w:val="single" w:color="auto" w:sz="4" w:space="0"/>
            </w:tcBorders>
            <w:noWrap w:val="0"/>
            <w:vAlign w:val="center"/>
          </w:tcPr>
          <w:p w14:paraId="7F01C8F5">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（4）根据投标人提供的巡检保养方案进行评分(</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a.巡检保养方案全面、合理，具有针对性，科学合理且具备突出可执行性的，得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b. 巡检保养方案较为全面合理，具备良好可执行性，但个别环节的针对性或深度略有不足，得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c. 巡检保养方案考虑相对不够全面，但依旧具备基本可行性的，得2分；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d. 巡检保养方案不全面、主要环节存在缺失或明显不合理，可执行性较弱的，得1分。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e.未提供巡检保养方案的不得分。</w:t>
            </w:r>
          </w:p>
        </w:tc>
        <w:tc>
          <w:tcPr>
            <w:tcW w:w="1080" w:type="dxa"/>
            <w:tcBorders>
              <w:top w:val="nil"/>
              <w:left w:val="nil"/>
              <w:bottom w:val="single" w:color="auto" w:sz="4" w:space="0"/>
              <w:right w:val="single" w:color="auto" w:sz="4" w:space="0"/>
            </w:tcBorders>
            <w:noWrap/>
            <w:vAlign w:val="center"/>
          </w:tcPr>
          <w:p w14:paraId="02CB66FF">
            <w:pPr>
              <w:widowControl/>
              <w:jc w:val="center"/>
              <w:rPr>
                <w:rFonts w:hint="eastAsia" w:asciiTheme="minorEastAsia" w:hAnsiTheme="minorEastAsia" w:eastAsiaTheme="minorEastAsia" w:cstheme="minorEastAsia"/>
                <w:color w:val="000000" w:themeColor="text1"/>
                <w:sz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p>
        </w:tc>
      </w:tr>
      <w:tr w14:paraId="25AAA1BD">
        <w:tblPrEx>
          <w:tblCellMar>
            <w:top w:w="0" w:type="dxa"/>
            <w:left w:w="108" w:type="dxa"/>
            <w:bottom w:w="0" w:type="dxa"/>
            <w:right w:w="108" w:type="dxa"/>
          </w:tblCellMar>
        </w:tblPrEx>
        <w:trPr>
          <w:trHeight w:val="3420" w:hRule="atLeast"/>
          <w:jc w:val="center"/>
        </w:trPr>
        <w:tc>
          <w:tcPr>
            <w:tcW w:w="1060" w:type="dxa"/>
            <w:tcBorders>
              <w:top w:val="nil"/>
              <w:left w:val="single" w:color="auto" w:sz="4" w:space="0"/>
              <w:bottom w:val="single" w:color="auto" w:sz="4" w:space="0"/>
              <w:right w:val="single" w:color="auto" w:sz="4" w:space="0"/>
            </w:tcBorders>
            <w:noWrap/>
            <w:vAlign w:val="center"/>
          </w:tcPr>
          <w:p w14:paraId="3CD2D551">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　</w:t>
            </w:r>
          </w:p>
        </w:tc>
        <w:tc>
          <w:tcPr>
            <w:tcW w:w="6520" w:type="dxa"/>
            <w:tcBorders>
              <w:top w:val="nil"/>
              <w:left w:val="nil"/>
              <w:bottom w:val="single" w:color="auto" w:sz="4" w:space="0"/>
              <w:right w:val="single" w:color="auto" w:sz="4" w:space="0"/>
            </w:tcBorders>
            <w:noWrap w:val="0"/>
            <w:vAlign w:val="center"/>
          </w:tcPr>
          <w:p w14:paraId="796D8FBA">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5）对本项目提出符合现场条件的合理化建议（</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a.合理化建议描述详细、具体、明确，对关键内容表述清晰完整，逻辑严谨，对临床科室延长设备使用寿命有显著促进作用的，得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b.合理化建议描述较为详细，关键内容表述基本清晰完整，具有一定操作性，能较好支持临床科室设备维护与寿命延长的，得</w:t>
            </w: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c.合理化建议描述较为简单，内容较完整，关键内容表述较清晰，在一定程度上有利于设备使用管理的，得2分；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d.合理化建议描述不完整，关键内容表述模糊，可操作性较弱，对实际设备寿命延长支持有限的，得1分。</w:t>
            </w:r>
            <w:r>
              <w:rPr>
                <w:rFonts w:hint="eastAsia" w:asciiTheme="minorEastAsia" w:hAnsiTheme="minorEastAsia" w:eastAsiaTheme="minorEastAsia" w:cstheme="minorEastAsia"/>
                <w:color w:val="000000" w:themeColor="text1"/>
                <w:sz w:val="22"/>
                <w:highlight w:val="none"/>
                <w14:textFill>
                  <w14:solidFill>
                    <w14:schemeClr w14:val="tx1"/>
                  </w14:solidFill>
                </w14:textFill>
              </w:rPr>
              <w:br w:type="textWrapping"/>
            </w:r>
            <w:r>
              <w:rPr>
                <w:rFonts w:hint="eastAsia" w:asciiTheme="minorEastAsia" w:hAnsiTheme="minorEastAsia" w:eastAsiaTheme="minorEastAsia" w:cstheme="minorEastAsia"/>
                <w:color w:val="000000" w:themeColor="text1"/>
                <w:sz w:val="22"/>
                <w:highlight w:val="none"/>
                <w14:textFill>
                  <w14:solidFill>
                    <w14:schemeClr w14:val="tx1"/>
                  </w14:solidFill>
                </w14:textFill>
              </w:rPr>
              <w:t>e.未提供不得分。</w:t>
            </w:r>
          </w:p>
        </w:tc>
        <w:tc>
          <w:tcPr>
            <w:tcW w:w="1080" w:type="dxa"/>
            <w:tcBorders>
              <w:top w:val="nil"/>
              <w:left w:val="nil"/>
              <w:bottom w:val="single" w:color="auto" w:sz="4" w:space="0"/>
              <w:right w:val="single" w:color="auto" w:sz="4" w:space="0"/>
            </w:tcBorders>
            <w:noWrap/>
            <w:vAlign w:val="center"/>
          </w:tcPr>
          <w:p w14:paraId="7BC3D667">
            <w:pPr>
              <w:widowControl/>
              <w:jc w:val="center"/>
              <w:rPr>
                <w:rFonts w:hint="eastAsia" w:asciiTheme="minorEastAsia" w:hAnsiTheme="minorEastAsia" w:eastAsiaTheme="minorEastAsia" w:cstheme="minorEastAsia"/>
                <w:color w:val="000000" w:themeColor="text1"/>
                <w:sz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lang w:val="en-US" w:eastAsia="zh-CN"/>
                <w14:textFill>
                  <w14:solidFill>
                    <w14:schemeClr w14:val="tx1"/>
                  </w14:solidFill>
                </w14:textFill>
              </w:rPr>
              <w:t>6</w:t>
            </w:r>
          </w:p>
        </w:tc>
      </w:tr>
      <w:tr w14:paraId="6E59118A">
        <w:tblPrEx>
          <w:tblCellMar>
            <w:top w:w="0" w:type="dxa"/>
            <w:left w:w="108" w:type="dxa"/>
            <w:bottom w:w="0" w:type="dxa"/>
            <w:right w:w="108" w:type="dxa"/>
          </w:tblCellMar>
        </w:tblPrEx>
        <w:trPr>
          <w:trHeight w:val="570" w:hRule="atLeast"/>
          <w:jc w:val="center"/>
        </w:trPr>
        <w:tc>
          <w:tcPr>
            <w:tcW w:w="1060" w:type="dxa"/>
            <w:tcBorders>
              <w:top w:val="nil"/>
              <w:left w:val="single" w:color="auto" w:sz="4" w:space="0"/>
              <w:bottom w:val="single" w:color="auto" w:sz="4" w:space="0"/>
              <w:right w:val="single" w:color="auto" w:sz="4" w:space="0"/>
            </w:tcBorders>
            <w:noWrap/>
            <w:vAlign w:val="center"/>
          </w:tcPr>
          <w:p w14:paraId="754F2D37">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业绩</w:t>
            </w:r>
          </w:p>
        </w:tc>
        <w:tc>
          <w:tcPr>
            <w:tcW w:w="6520" w:type="dxa"/>
            <w:tcBorders>
              <w:top w:val="nil"/>
              <w:left w:val="nil"/>
              <w:bottom w:val="single" w:color="auto" w:sz="4" w:space="0"/>
              <w:right w:val="single" w:color="auto" w:sz="4" w:space="0"/>
            </w:tcBorders>
            <w:noWrap w:val="0"/>
            <w:vAlign w:val="center"/>
          </w:tcPr>
          <w:p w14:paraId="66E8F8F5">
            <w:pPr>
              <w:widowControl/>
              <w:jc w:val="left"/>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投标人具有自2021年起，具有类似设备的维保业绩（以合同复印件为准）。有一份得3分，最多得9分。</w:t>
            </w:r>
          </w:p>
        </w:tc>
        <w:tc>
          <w:tcPr>
            <w:tcW w:w="1080" w:type="dxa"/>
            <w:tcBorders>
              <w:top w:val="nil"/>
              <w:left w:val="nil"/>
              <w:bottom w:val="single" w:color="auto" w:sz="4" w:space="0"/>
              <w:right w:val="single" w:color="auto" w:sz="4" w:space="0"/>
            </w:tcBorders>
            <w:noWrap/>
            <w:vAlign w:val="center"/>
          </w:tcPr>
          <w:p w14:paraId="1DBE0EF4">
            <w:pPr>
              <w:widowControl/>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9</w:t>
            </w:r>
          </w:p>
        </w:tc>
      </w:tr>
    </w:tbl>
    <w:p w14:paraId="5A74CAD7">
      <w:pPr>
        <w:pStyle w:val="14"/>
        <w:rPr>
          <w:highlight w:val="none"/>
        </w:rPr>
      </w:pPr>
    </w:p>
    <w:p w14:paraId="458F7CBC">
      <w:pPr>
        <w:spacing w:line="500" w:lineRule="exact"/>
        <w:ind w:firstLine="480"/>
        <w:jc w:val="left"/>
        <w:rPr>
          <w:rFonts w:hint="eastAsia" w:ascii="宋体" w:hAnsi="宋体" w:cs="宋体"/>
          <w:sz w:val="24"/>
          <w:highlight w:val="none"/>
        </w:rPr>
      </w:pPr>
      <w:r>
        <w:rPr>
          <w:rFonts w:hint="eastAsia" w:ascii="宋体" w:hAnsi="宋体" w:cs="宋体"/>
          <w:sz w:val="24"/>
          <w:highlight w:val="none"/>
        </w:rPr>
        <w:t>3、评标结果。评标委员会按照本办法规定推荐中标候选人，并形成评标报告。</w:t>
      </w:r>
    </w:p>
    <w:p w14:paraId="68D9CF12">
      <w:pPr>
        <w:spacing w:line="360" w:lineRule="auto"/>
        <w:ind w:right="-10" w:firstLine="80"/>
        <w:rPr>
          <w:rFonts w:hint="eastAsia" w:ascii="宋体" w:hAnsi="宋体" w:cs="宋体"/>
          <w:sz w:val="4"/>
          <w:szCs w:val="2"/>
          <w:highlight w:val="none"/>
        </w:rPr>
      </w:pPr>
    </w:p>
    <w:p w14:paraId="4830B0C6">
      <w:pPr>
        <w:spacing w:line="400" w:lineRule="exact"/>
        <w:ind w:right="-10" w:firstLine="480"/>
        <w:rPr>
          <w:rFonts w:hint="eastAsia" w:ascii="宋体" w:hAnsi="宋体" w:cs="宋体"/>
          <w:sz w:val="24"/>
          <w:highlight w:val="none"/>
        </w:rPr>
      </w:pPr>
      <w:r>
        <w:rPr>
          <w:rFonts w:hint="eastAsia" w:ascii="宋体" w:hAnsi="宋体" w:cs="宋体"/>
          <w:sz w:val="24"/>
          <w:highlight w:val="none"/>
        </w:rPr>
        <w:t>说明：</w:t>
      </w:r>
    </w:p>
    <w:p w14:paraId="584F94F1">
      <w:pPr>
        <w:pStyle w:val="525"/>
        <w:spacing w:line="400" w:lineRule="exact"/>
        <w:ind w:firstLine="480"/>
        <w:rPr>
          <w:rFonts w:hint="eastAsia" w:hAnsi="宋体"/>
          <w:sz w:val="24"/>
          <w:szCs w:val="24"/>
          <w:highlight w:val="none"/>
        </w:rPr>
      </w:pPr>
      <w:r>
        <w:rPr>
          <w:rFonts w:hint="eastAsia" w:hAnsi="宋体"/>
          <w:sz w:val="24"/>
          <w:szCs w:val="24"/>
          <w:highlight w:val="none"/>
        </w:rPr>
        <w:t>1.小微型企业价格扣除</w:t>
      </w:r>
    </w:p>
    <w:p w14:paraId="3D9E9AB3">
      <w:pPr>
        <w:pStyle w:val="525"/>
        <w:spacing w:line="400" w:lineRule="exact"/>
        <w:ind w:firstLine="360"/>
        <w:rPr>
          <w:rFonts w:hint="eastAsia" w:hAnsi="宋体"/>
          <w:sz w:val="24"/>
          <w:szCs w:val="24"/>
          <w:highlight w:val="none"/>
        </w:rPr>
      </w:pPr>
      <w:r>
        <w:rPr>
          <w:rFonts w:hint="eastAsia" w:hAnsi="宋体"/>
          <w:sz w:val="24"/>
          <w:szCs w:val="24"/>
          <w:highlight w:val="none"/>
        </w:rPr>
        <w:t>（1）本项目对小型和微型企业产品给予10%的扣除价格，用扣除后的价格参与评审。</w:t>
      </w:r>
    </w:p>
    <w:p w14:paraId="5F474BF9">
      <w:pPr>
        <w:pStyle w:val="525"/>
        <w:spacing w:line="400" w:lineRule="exact"/>
        <w:ind w:firstLine="360"/>
        <w:rPr>
          <w:rFonts w:hint="eastAsia" w:hAnsi="宋体"/>
          <w:sz w:val="24"/>
          <w:szCs w:val="24"/>
          <w:highlight w:val="none"/>
        </w:rPr>
      </w:pPr>
      <w:r>
        <w:rPr>
          <w:rFonts w:hint="eastAsia" w:hAnsi="宋体"/>
          <w:sz w:val="24"/>
          <w:szCs w:val="24"/>
          <w:highlight w:val="none"/>
        </w:rPr>
        <w:t>（2）供应商需按照采购文件的要求提供相应的《企业声明函》。</w:t>
      </w:r>
    </w:p>
    <w:p w14:paraId="0A3123A6">
      <w:pPr>
        <w:pStyle w:val="525"/>
        <w:spacing w:line="400" w:lineRule="exact"/>
        <w:ind w:firstLine="360"/>
        <w:rPr>
          <w:rFonts w:hint="eastAsia" w:hAnsi="宋体"/>
          <w:sz w:val="24"/>
          <w:szCs w:val="24"/>
          <w:highlight w:val="none"/>
        </w:rPr>
      </w:pPr>
      <w:r>
        <w:rPr>
          <w:rFonts w:hint="eastAsia" w:hAnsi="宋体"/>
          <w:sz w:val="24"/>
          <w:szCs w:val="24"/>
          <w:highlight w:val="none"/>
        </w:rPr>
        <w:t>（3）企业标准请参照《关于印发中小企业划型标准规定的通知》（工信部联企业[2011]300号）文件规定自行填写。</w:t>
      </w:r>
    </w:p>
    <w:p w14:paraId="1BD57A4C">
      <w:pPr>
        <w:pStyle w:val="525"/>
        <w:spacing w:line="400" w:lineRule="exact"/>
        <w:ind w:firstLine="361"/>
        <w:rPr>
          <w:rFonts w:hint="eastAsia" w:hAnsi="宋体"/>
          <w:b/>
          <w:bCs/>
          <w:sz w:val="24"/>
          <w:szCs w:val="24"/>
          <w:highlight w:val="none"/>
        </w:rPr>
      </w:pPr>
      <w:r>
        <w:rPr>
          <w:rFonts w:hint="eastAsia" w:hAnsi="宋体"/>
          <w:b/>
          <w:bCs/>
          <w:sz w:val="24"/>
          <w:szCs w:val="24"/>
          <w:highlight w:val="none"/>
        </w:rPr>
        <w:t>（4）在货物采购项目中，供应商提供的货物既有中小企业制造货物，也有大型企业制造货物的，不享受本办法规定的中小企业扶持政策。</w:t>
      </w:r>
    </w:p>
    <w:p w14:paraId="7776E498">
      <w:pPr>
        <w:pStyle w:val="525"/>
        <w:spacing w:line="400" w:lineRule="exact"/>
        <w:ind w:firstLine="480"/>
        <w:rPr>
          <w:rFonts w:hint="eastAsia" w:hAnsi="宋体"/>
          <w:sz w:val="24"/>
          <w:szCs w:val="24"/>
          <w:highlight w:val="none"/>
        </w:rPr>
      </w:pPr>
      <w:r>
        <w:rPr>
          <w:rFonts w:hint="eastAsia" w:hAnsi="宋体"/>
          <w:sz w:val="24"/>
          <w:szCs w:val="24"/>
          <w:highlight w:val="none"/>
        </w:rPr>
        <w:t>2.残疾人福利单位价格扣除</w:t>
      </w:r>
    </w:p>
    <w:p w14:paraId="5E085957">
      <w:pPr>
        <w:pStyle w:val="525"/>
        <w:spacing w:line="400" w:lineRule="exact"/>
        <w:ind w:left="120" w:firstLine="360"/>
        <w:rPr>
          <w:rFonts w:hint="eastAsia" w:hAnsi="宋体"/>
          <w:sz w:val="24"/>
          <w:szCs w:val="24"/>
          <w:highlight w:val="none"/>
        </w:rPr>
      </w:pPr>
      <w:r>
        <w:rPr>
          <w:rFonts w:hint="eastAsia" w:hAnsi="宋体"/>
          <w:sz w:val="24"/>
          <w:szCs w:val="24"/>
          <w:highlight w:val="none"/>
        </w:rPr>
        <w:t>（1）本项目对残疾人福利性单位视同小型、微型企业，给予10%的价格扣除，用扣除后的价格参与评审。</w:t>
      </w:r>
    </w:p>
    <w:p w14:paraId="1FA0108F">
      <w:pPr>
        <w:pStyle w:val="525"/>
        <w:spacing w:line="400" w:lineRule="exact"/>
        <w:ind w:left="120" w:firstLine="360"/>
        <w:rPr>
          <w:rFonts w:hint="eastAsia" w:hAnsi="宋体"/>
          <w:sz w:val="24"/>
          <w:szCs w:val="24"/>
          <w:highlight w:val="none"/>
        </w:rPr>
      </w:pPr>
      <w:r>
        <w:rPr>
          <w:rFonts w:hint="eastAsia" w:hAnsi="宋体"/>
          <w:sz w:val="24"/>
          <w:szCs w:val="24"/>
          <w:highlight w:val="none"/>
        </w:rPr>
        <w:t>（2）残疾人福利单位需提供《残疾人福利性单位声明函》。</w:t>
      </w:r>
    </w:p>
    <w:p w14:paraId="3851CD86">
      <w:pPr>
        <w:pStyle w:val="525"/>
        <w:spacing w:line="400" w:lineRule="exact"/>
        <w:ind w:left="120" w:firstLine="360"/>
        <w:rPr>
          <w:rFonts w:hint="eastAsia" w:hAnsi="宋体"/>
          <w:sz w:val="24"/>
          <w:szCs w:val="24"/>
          <w:highlight w:val="none"/>
        </w:rPr>
      </w:pPr>
      <w:r>
        <w:rPr>
          <w:rFonts w:hint="eastAsia" w:hAnsi="宋体"/>
          <w:sz w:val="24"/>
          <w:szCs w:val="24"/>
          <w:highlight w:val="none"/>
        </w:rPr>
        <w:t>（3）残疾人福利单位标准请参照《关于促进残疾人就业政府采购政策的通知》（财库〔2017〕141号）。</w:t>
      </w:r>
    </w:p>
    <w:p w14:paraId="757E1688">
      <w:pPr>
        <w:pStyle w:val="525"/>
        <w:spacing w:line="400" w:lineRule="exact"/>
        <w:ind w:firstLine="480"/>
        <w:rPr>
          <w:rFonts w:hint="eastAsia" w:hAnsi="宋体"/>
          <w:sz w:val="24"/>
          <w:szCs w:val="24"/>
          <w:highlight w:val="none"/>
        </w:rPr>
      </w:pPr>
      <w:r>
        <w:rPr>
          <w:rFonts w:hint="eastAsia" w:hAnsi="宋体"/>
          <w:sz w:val="24"/>
          <w:szCs w:val="24"/>
          <w:highlight w:val="none"/>
        </w:rPr>
        <w:t>3.监狱和戒毒企业价格扣除</w:t>
      </w:r>
    </w:p>
    <w:p w14:paraId="43355686">
      <w:pPr>
        <w:pStyle w:val="525"/>
        <w:spacing w:line="400" w:lineRule="exact"/>
        <w:ind w:firstLine="480"/>
        <w:rPr>
          <w:rFonts w:hint="eastAsia" w:hAnsi="宋体"/>
          <w:sz w:val="24"/>
          <w:szCs w:val="24"/>
          <w:highlight w:val="none"/>
        </w:rPr>
      </w:pPr>
      <w:r>
        <w:rPr>
          <w:rFonts w:hint="eastAsia" w:hAnsi="宋体"/>
          <w:sz w:val="24"/>
          <w:szCs w:val="24"/>
          <w:highlight w:val="none"/>
        </w:rPr>
        <w:t>（1）本项目对监狱和戒毒企业（简称监狱企业）视同小型、微型企业，给予10%的价格扣除，用扣除后的价格参与评审。</w:t>
      </w:r>
    </w:p>
    <w:p w14:paraId="5F5EAEDC">
      <w:pPr>
        <w:pStyle w:val="525"/>
        <w:spacing w:line="400" w:lineRule="exact"/>
        <w:ind w:firstLine="480"/>
        <w:rPr>
          <w:rFonts w:hint="eastAsia" w:hAnsi="宋体"/>
          <w:sz w:val="24"/>
          <w:szCs w:val="24"/>
          <w:highlight w:val="none"/>
        </w:rPr>
      </w:pPr>
      <w:r>
        <w:rPr>
          <w:rFonts w:hint="eastAsia" w:hAnsi="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B1055C0">
      <w:pPr>
        <w:pStyle w:val="525"/>
        <w:spacing w:line="400" w:lineRule="exact"/>
        <w:ind w:firstLine="480"/>
        <w:rPr>
          <w:rFonts w:hint="eastAsia" w:hAnsi="宋体"/>
          <w:sz w:val="24"/>
          <w:szCs w:val="24"/>
          <w:highlight w:val="none"/>
        </w:rPr>
      </w:pPr>
      <w:r>
        <w:rPr>
          <w:rFonts w:hint="eastAsia" w:hAnsi="宋体"/>
          <w:sz w:val="24"/>
          <w:szCs w:val="24"/>
          <w:highlight w:val="none"/>
        </w:rPr>
        <w:t>（3）监狱企业标准请参照《关于政府采购支持监狱企业发展有关问题的通知》（财库[2014]68号）。</w:t>
      </w:r>
    </w:p>
    <w:p w14:paraId="5387A330">
      <w:pPr>
        <w:jc w:val="center"/>
        <w:outlineLvl w:val="0"/>
        <w:rPr>
          <w:b/>
          <w:sz w:val="44"/>
          <w:szCs w:val="44"/>
          <w:highlight w:val="none"/>
        </w:rPr>
      </w:pPr>
      <w:bookmarkStart w:id="75" w:name="EBae7807b0bcbc478ea1f502c8f1955356"/>
      <w:bookmarkEnd w:id="75"/>
      <w:bookmarkStart w:id="76" w:name="_Toc514054481"/>
      <w:r>
        <w:rPr>
          <w:rFonts w:hint="eastAsia"/>
          <w:b/>
          <w:sz w:val="44"/>
          <w:szCs w:val="44"/>
          <w:highlight w:val="none"/>
        </w:rPr>
        <w:br w:type="page" w:clear="all"/>
      </w:r>
      <w:bookmarkStart w:id="77" w:name="_Toc1505"/>
      <w:r>
        <w:rPr>
          <w:rFonts w:hint="eastAsia"/>
          <w:b/>
          <w:sz w:val="44"/>
          <w:szCs w:val="44"/>
          <w:highlight w:val="none"/>
        </w:rPr>
        <w:t xml:space="preserve"> 第四部分 采购需求</w:t>
      </w:r>
      <w:bookmarkEnd w:id="76"/>
      <w:bookmarkEnd w:id="77"/>
      <w:bookmarkStart w:id="78" w:name="_Toc9306"/>
      <w:bookmarkStart w:id="79" w:name="_Toc514054482"/>
    </w:p>
    <w:p w14:paraId="70D0544A">
      <w:pPr>
        <w:keepNext/>
        <w:keepLines/>
        <w:spacing w:before="320" w:after="200"/>
        <w:outlineLvl w:val="2"/>
        <w:rPr>
          <w:rFonts w:ascii="Arial" w:hAnsi="Arial" w:eastAsia="Arial" w:cs="Arial"/>
          <w:sz w:val="30"/>
          <w:szCs w:val="30"/>
          <w:highlight w:val="none"/>
        </w:rPr>
      </w:pPr>
      <w:bookmarkStart w:id="80" w:name="_Toc197812188"/>
      <w:r>
        <w:rPr>
          <w:rFonts w:hint="eastAsia" w:ascii="宋体" w:hAnsi="宋体" w:cs="宋体"/>
          <w:sz w:val="30"/>
          <w:szCs w:val="30"/>
          <w:highlight w:val="none"/>
        </w:rPr>
        <w:t>一、需求一览表</w:t>
      </w:r>
      <w:bookmarkEnd w:id="80"/>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2877"/>
        <w:gridCol w:w="2675"/>
      </w:tblGrid>
      <w:tr w14:paraId="2D8D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501" w:type="dxa"/>
            <w:noWrap w:val="0"/>
            <w:vAlign w:val="center"/>
          </w:tcPr>
          <w:p w14:paraId="7DEFBE1F">
            <w:pPr>
              <w:jc w:val="center"/>
              <w:rPr>
                <w:rFonts w:hint="eastAsia" w:ascii="宋体" w:hAnsi="宋体"/>
                <w:sz w:val="24"/>
                <w:szCs w:val="24"/>
                <w:highlight w:val="none"/>
              </w:rPr>
            </w:pPr>
            <w:r>
              <w:rPr>
                <w:rFonts w:hint="eastAsia" w:ascii="宋体" w:hAnsi="宋体"/>
                <w:sz w:val="24"/>
                <w:szCs w:val="24"/>
                <w:highlight w:val="none"/>
              </w:rPr>
              <w:t>包号</w:t>
            </w:r>
          </w:p>
        </w:tc>
        <w:tc>
          <w:tcPr>
            <w:tcW w:w="2877" w:type="dxa"/>
            <w:noWrap w:val="0"/>
            <w:vAlign w:val="center"/>
          </w:tcPr>
          <w:p w14:paraId="503900CA">
            <w:pPr>
              <w:jc w:val="center"/>
              <w:rPr>
                <w:rFonts w:hint="eastAsia" w:ascii="宋体" w:hAnsi="宋体"/>
                <w:sz w:val="24"/>
                <w:szCs w:val="24"/>
                <w:highlight w:val="none"/>
              </w:rPr>
            </w:pPr>
            <w:r>
              <w:rPr>
                <w:rFonts w:hint="eastAsia" w:ascii="宋体" w:hAnsi="宋体"/>
                <w:sz w:val="24"/>
                <w:szCs w:val="24"/>
                <w:highlight w:val="none"/>
              </w:rPr>
              <w:t>服 务</w:t>
            </w:r>
            <w:r>
              <w:rPr>
                <w:rFonts w:ascii="宋体" w:hAnsi="宋体"/>
                <w:sz w:val="24"/>
                <w:szCs w:val="24"/>
                <w:highlight w:val="none"/>
              </w:rPr>
              <w:t xml:space="preserve"> </w:t>
            </w:r>
            <w:r>
              <w:rPr>
                <w:rFonts w:hint="eastAsia" w:ascii="宋体" w:hAnsi="宋体"/>
                <w:sz w:val="24"/>
                <w:szCs w:val="24"/>
                <w:highlight w:val="none"/>
              </w:rPr>
              <w:t>名</w:t>
            </w:r>
            <w:r>
              <w:rPr>
                <w:rFonts w:ascii="宋体" w:hAnsi="宋体"/>
                <w:sz w:val="24"/>
                <w:szCs w:val="24"/>
                <w:highlight w:val="none"/>
              </w:rPr>
              <w:t xml:space="preserve"> </w:t>
            </w:r>
            <w:r>
              <w:rPr>
                <w:rFonts w:hint="eastAsia" w:ascii="宋体" w:hAnsi="宋体"/>
                <w:sz w:val="24"/>
                <w:szCs w:val="24"/>
                <w:highlight w:val="none"/>
              </w:rPr>
              <w:t>称</w:t>
            </w:r>
          </w:p>
        </w:tc>
        <w:tc>
          <w:tcPr>
            <w:tcW w:w="2675" w:type="dxa"/>
            <w:noWrap w:val="0"/>
            <w:vAlign w:val="center"/>
          </w:tcPr>
          <w:p w14:paraId="15628380">
            <w:pPr>
              <w:jc w:val="center"/>
              <w:rPr>
                <w:rFonts w:hint="eastAsia" w:ascii="宋体" w:hAnsi="宋体"/>
                <w:sz w:val="24"/>
                <w:szCs w:val="24"/>
                <w:highlight w:val="none"/>
              </w:rPr>
            </w:pPr>
            <w:r>
              <w:rPr>
                <w:rFonts w:hint="eastAsia" w:ascii="宋体" w:hAnsi="宋体"/>
                <w:sz w:val="24"/>
                <w:szCs w:val="24"/>
                <w:highlight w:val="none"/>
              </w:rPr>
              <w:t>服务地点</w:t>
            </w:r>
          </w:p>
        </w:tc>
      </w:tr>
      <w:tr w14:paraId="03313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2501" w:type="dxa"/>
            <w:shd w:val="clear" w:color="auto" w:fill="auto"/>
            <w:noWrap w:val="0"/>
            <w:vAlign w:val="center"/>
          </w:tcPr>
          <w:p w14:paraId="5EDE1AE4">
            <w:pPr>
              <w:tabs>
                <w:tab w:val="left" w:pos="1276"/>
              </w:tabs>
              <w:spacing w:line="312" w:lineRule="auto"/>
              <w:jc w:val="center"/>
              <w:rPr>
                <w:rFonts w:hint="eastAsia" w:ascii="宋体" w:hAnsi="宋体"/>
                <w:bCs/>
                <w:highlight w:val="none"/>
              </w:rPr>
            </w:pPr>
            <w:r>
              <w:rPr>
                <w:rFonts w:hint="eastAsia" w:ascii="宋体" w:hAnsi="宋体" w:cs="宋体"/>
                <w:szCs w:val="24"/>
                <w:highlight w:val="none"/>
              </w:rPr>
              <w:t>01</w:t>
            </w:r>
          </w:p>
        </w:tc>
        <w:tc>
          <w:tcPr>
            <w:tcW w:w="2877" w:type="dxa"/>
            <w:shd w:val="clear" w:color="auto" w:fill="auto"/>
            <w:noWrap w:val="0"/>
            <w:vAlign w:val="center"/>
          </w:tcPr>
          <w:p w14:paraId="3A4FDED7">
            <w:pPr>
              <w:widowControl/>
              <w:jc w:val="center"/>
              <w:rPr>
                <w:rFonts w:hint="eastAsia" w:eastAsia="宋体"/>
                <w:highlight w:val="none"/>
                <w:lang w:eastAsia="zh-CN"/>
              </w:rPr>
            </w:pPr>
            <w:r>
              <w:rPr>
                <w:rFonts w:hint="eastAsia" w:cs="宋体"/>
                <w:highlight w:val="none"/>
                <w:lang w:eastAsia="zh-CN"/>
              </w:rPr>
              <w:t>X射线计算机体层摄影设备（双源CT）维保</w:t>
            </w:r>
          </w:p>
        </w:tc>
        <w:tc>
          <w:tcPr>
            <w:tcW w:w="2675" w:type="dxa"/>
            <w:noWrap w:val="0"/>
            <w:vAlign w:val="center"/>
          </w:tcPr>
          <w:p w14:paraId="593F600C">
            <w:pPr>
              <w:widowControl/>
              <w:rPr>
                <w:highlight w:val="none"/>
              </w:rPr>
            </w:pPr>
            <w:r>
              <w:rPr>
                <w:rFonts w:hint="eastAsia"/>
                <w:highlight w:val="none"/>
              </w:rPr>
              <w:t>南京市第一医院指定地点</w:t>
            </w:r>
          </w:p>
        </w:tc>
      </w:tr>
    </w:tbl>
    <w:p w14:paraId="650B2B54">
      <w:pPr>
        <w:keepNext/>
        <w:keepLines/>
        <w:numPr>
          <w:ilvl w:val="0"/>
          <w:numId w:val="12"/>
        </w:numPr>
        <w:tabs>
          <w:tab w:val="left" w:pos="780"/>
          <w:tab w:val="left" w:pos="4421"/>
        </w:tabs>
        <w:spacing w:before="320" w:after="200"/>
        <w:ind w:left="1275" w:hanging="795"/>
        <w:outlineLvl w:val="2"/>
        <w:rPr>
          <w:rFonts w:ascii="Arial" w:hAnsi="Arial" w:eastAsia="Arial" w:cs="Arial"/>
          <w:sz w:val="30"/>
          <w:szCs w:val="30"/>
          <w:highlight w:val="none"/>
        </w:rPr>
      </w:pPr>
      <w:bookmarkStart w:id="81" w:name="_Toc197812189"/>
      <w:r>
        <w:rPr>
          <w:rFonts w:hint="eastAsia" w:ascii="宋体" w:hAnsi="宋体" w:cs="宋体"/>
          <w:sz w:val="30"/>
          <w:szCs w:val="30"/>
          <w:highlight w:val="none"/>
        </w:rPr>
        <w:t>技术部分要求</w:t>
      </w:r>
      <w:bookmarkEnd w:id="81"/>
      <w:r>
        <w:rPr>
          <w:rFonts w:hint="eastAsia" w:ascii="Arial" w:hAnsi="Arial" w:eastAsia="Arial" w:cs="Arial"/>
          <w:sz w:val="30"/>
          <w:szCs w:val="30"/>
          <w:highlight w:val="none"/>
        </w:rPr>
        <w:tab/>
      </w:r>
    </w:p>
    <w:p w14:paraId="175C2093">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1.设备型号</w:t>
      </w:r>
      <w:r>
        <w:rPr>
          <w:rFonts w:hint="eastAsia" w:ascii="宋体" w:hAnsi="宋体" w:eastAsia="宋体" w:cs="宋体"/>
          <w:color w:val="auto"/>
          <w:sz w:val="24"/>
          <w:szCs w:val="24"/>
          <w:highlight w:val="none"/>
          <w:u w:val="single"/>
        </w:rPr>
        <w:t xml:space="preserve">：双源CT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SOMATOM Definition Flash及工作站保修      </w:t>
      </w:r>
      <w:r>
        <w:rPr>
          <w:rFonts w:hint="eastAsia" w:ascii="宋体" w:hAnsi="宋体" w:eastAsia="宋体" w:cs="宋体"/>
          <w:color w:val="auto"/>
          <w:sz w:val="24"/>
          <w:szCs w:val="24"/>
          <w:highlight w:val="none"/>
        </w:rPr>
        <w:t xml:space="preserve"> ）</w:t>
      </w:r>
    </w:p>
    <w:p w14:paraId="3E3E2CE7">
      <w:pPr>
        <w:pStyle w:val="447"/>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2.保修类型：整机全保。</w:t>
      </w:r>
    </w:p>
    <w:p w14:paraId="7734BD5B">
      <w:pPr>
        <w:pStyle w:val="447"/>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3.保修年限：三年。</w:t>
      </w:r>
    </w:p>
    <w:p w14:paraId="0E8D2738">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u w:val="single"/>
        </w:rPr>
        <w:t xml:space="preserve">  双源CT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SOMATOM Definition Flash及工作站保修  </w:t>
      </w:r>
      <w:r>
        <w:rPr>
          <w:rFonts w:hint="eastAsia" w:ascii="宋体" w:hAnsi="宋体" w:eastAsia="宋体" w:cs="宋体"/>
          <w:color w:val="auto"/>
          <w:sz w:val="24"/>
          <w:szCs w:val="24"/>
          <w:highlight w:val="none"/>
        </w:rPr>
        <w:t>）维保期内提供维修所需的人工和备件。</w:t>
      </w:r>
    </w:p>
    <w:p w14:paraId="0027FB4B">
      <w:pPr>
        <w:pStyle w:val="447"/>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82" w:name="_Hlk118745457"/>
      <w:r>
        <w:rPr>
          <w:rFonts w:hint="eastAsia" w:ascii="宋体" w:hAnsi="宋体" w:eastAsia="宋体" w:cs="宋体"/>
          <w:color w:val="auto"/>
          <w:sz w:val="24"/>
          <w:szCs w:val="24"/>
          <w:highlight w:val="none"/>
        </w:rPr>
        <w:t xml:space="preserve"> 在保修服务期内免费提供设备的软硬件安全升级（非功能性软件），系统软件升级补丁和技术支持，以提高设备的安全性和性能，但不包括第三方生产或拥有的软件升级，并提供所有升级资料和记录。</w:t>
      </w:r>
      <w:bookmarkEnd w:id="82"/>
      <w:r>
        <w:rPr>
          <w:rFonts w:hint="eastAsia" w:ascii="宋体" w:hAnsi="宋体" w:eastAsia="宋体" w:cs="宋体"/>
          <w:color w:val="auto"/>
          <w:sz w:val="24"/>
          <w:szCs w:val="24"/>
          <w:highlight w:val="none"/>
        </w:rPr>
        <w:t>（需提供该设备制造商或其直属机构的盖章证明材料）。</w:t>
      </w:r>
    </w:p>
    <w:p w14:paraId="12012B68">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.投标人保证设备处于优良运行状态，为设备提供安全检查、质量保证。</w:t>
      </w:r>
    </w:p>
    <w:p w14:paraId="6A3DE84C">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.投标人保证设备符合相应的国内、国际机械电气标准。</w:t>
      </w:r>
    </w:p>
    <w:p w14:paraId="1E68F41E">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.所有更换的零备件必须保证质量合格，必须为原厂同型号全新匹配备件（提供原厂授权书或与原厂采购备件合同备案，如进口配件须提供进口相关手续文件或说明如报关单）。</w:t>
      </w:r>
    </w:p>
    <w:p w14:paraId="19230B8D">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.投标人或原厂（所维保设备的制造商）具备报修热线，并提供365天，7×24小时热线支持，提供在国内已经建立的远程维修诊断系统的地址及认证证书（复印件）</w:t>
      </w:r>
    </w:p>
    <w:p w14:paraId="6C9FE3D1">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.电话报修首次响应时间≤2小时，工程师到达现场时间平均≤24小时。</w:t>
      </w:r>
    </w:p>
    <w:p w14:paraId="5A815970">
      <w:pPr>
        <w:pStyle w:val="44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.预防性巡检、保养：≥2次/年，并提交维护保养报告。</w:t>
      </w:r>
    </w:p>
    <w:p w14:paraId="6D419D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.在正确使用设备的前提下，保证保修期内开机率≥95%（365天），停机时间不超过18天，停机每超过1天，维保合同期顺延3天。</w:t>
      </w:r>
    </w:p>
    <w:p w14:paraId="3FD308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服务包含常规备件（旧件退回西门子）、球管、滑环、探测器、高压油箱、工时、安全检查、质量保证、24小时x 365天热线支持、远程服务及服务工具包、预防性保养（含预防性保养耗材）；（未包括再安装及所需备品备件、第三方产品及其劳务）。</w:t>
      </w:r>
    </w:p>
    <w:p w14:paraId="0B5BD8A0">
      <w:pPr>
        <w:rPr>
          <w:b/>
          <w:bCs/>
          <w:highlight w:val="none"/>
        </w:rPr>
      </w:pPr>
    </w:p>
    <w:p w14:paraId="2CBBBA88">
      <w:pPr>
        <w:keepNext/>
        <w:keepLines/>
        <w:spacing w:before="320" w:after="200"/>
        <w:outlineLvl w:val="2"/>
        <w:rPr>
          <w:rFonts w:ascii="Arial" w:hAnsi="Arial" w:eastAsia="Arial" w:cs="Arial"/>
          <w:sz w:val="30"/>
          <w:szCs w:val="30"/>
          <w:highlight w:val="none"/>
        </w:rPr>
      </w:pPr>
      <w:bookmarkStart w:id="83" w:name="_Toc197812190"/>
      <w:r>
        <w:rPr>
          <w:rFonts w:hint="eastAsia" w:ascii="宋体" w:hAnsi="宋体" w:cs="宋体"/>
          <w:sz w:val="30"/>
          <w:szCs w:val="30"/>
          <w:highlight w:val="none"/>
        </w:rPr>
        <w:t>三、</w:t>
      </w:r>
      <w:r>
        <w:rPr>
          <w:rFonts w:hint="eastAsia" w:hAnsi="宋体"/>
          <w:bCs/>
          <w:color w:val="auto"/>
          <w:sz w:val="28"/>
          <w:szCs w:val="28"/>
          <w:highlight w:val="none"/>
        </w:rPr>
        <w:t>★</w:t>
      </w:r>
      <w:r>
        <w:rPr>
          <w:rFonts w:hint="eastAsia" w:ascii="宋体" w:hAnsi="宋体" w:cs="宋体"/>
          <w:sz w:val="30"/>
          <w:szCs w:val="30"/>
          <w:highlight w:val="none"/>
        </w:rPr>
        <w:t>商务要求</w:t>
      </w:r>
      <w:bookmarkEnd w:id="83"/>
    </w:p>
    <w:p w14:paraId="2A1792F0">
      <w:pPr>
        <w:keepNext w:val="0"/>
        <w:keepLines w:val="0"/>
        <w:pageBreakBefore w:val="0"/>
        <w:kinsoku/>
        <w:wordWrap/>
        <w:overflowPunct/>
        <w:topLinePunct w:val="0"/>
        <w:autoSpaceDE/>
        <w:autoSpaceDN/>
        <w:bidi w:val="0"/>
        <w:adjustRightInd/>
        <w:snapToGrid/>
        <w:spacing w:line="400" w:lineRule="exact"/>
        <w:textAlignment w:val="auto"/>
        <w:rPr>
          <w:b/>
          <w:bCs/>
          <w:sz w:val="28"/>
          <w:szCs w:val="28"/>
          <w:highlight w:val="none"/>
        </w:rPr>
      </w:pPr>
      <w:r>
        <w:rPr>
          <w:rFonts w:hint="eastAsia"/>
          <w:b/>
          <w:bCs/>
          <w:sz w:val="28"/>
          <w:szCs w:val="28"/>
          <w:highlight w:val="none"/>
        </w:rPr>
        <w:t>1、付款方式</w:t>
      </w:r>
    </w:p>
    <w:p w14:paraId="27D4208A">
      <w:pPr>
        <w:keepNext w:val="0"/>
        <w:keepLines w:val="0"/>
        <w:pageBreakBefore w:val="0"/>
        <w:kinsoku/>
        <w:wordWrap/>
        <w:overflowPunct/>
        <w:topLinePunct w:val="0"/>
        <w:autoSpaceDE/>
        <w:autoSpaceDN/>
        <w:bidi w:val="0"/>
        <w:adjustRightInd/>
        <w:snapToGrid/>
        <w:spacing w:line="400" w:lineRule="exact"/>
        <w:textAlignment w:val="auto"/>
        <w:rPr>
          <w:rFonts w:hint="eastAsia" w:hAnsi="宋体" w:cs="宋体"/>
          <w:color w:val="auto"/>
          <w:szCs w:val="21"/>
          <w:highlight w:val="none"/>
        </w:rPr>
      </w:pPr>
      <w:r>
        <w:rPr>
          <w:rFonts w:hint="eastAsia" w:hAnsi="宋体" w:cs="宋体"/>
          <w:color w:val="auto"/>
          <w:szCs w:val="21"/>
          <w:highlight w:val="none"/>
        </w:rPr>
        <w:t>后付款，一年一付，当年度服务结束，按《医疗设备</w:t>
      </w:r>
      <w:r>
        <w:rPr>
          <w:rFonts w:hint="eastAsia" w:hAnsi="宋体"/>
          <w:color w:val="auto"/>
          <w:highlight w:val="none"/>
        </w:rPr>
        <w:t>保修服务考核表</w:t>
      </w:r>
      <w:r>
        <w:rPr>
          <w:rFonts w:hint="eastAsia" w:hAnsi="宋体" w:cs="宋体"/>
          <w:color w:val="auto"/>
          <w:szCs w:val="21"/>
          <w:highlight w:val="none"/>
        </w:rPr>
        <w:t>》</w:t>
      </w:r>
      <w:r>
        <w:rPr>
          <w:rFonts w:hint="eastAsia" w:hAnsi="宋体"/>
          <w:color w:val="auto"/>
          <w:highlight w:val="none"/>
        </w:rPr>
        <w:t>验收合格，</w:t>
      </w:r>
      <w:r>
        <w:rPr>
          <w:rFonts w:hint="eastAsia" w:hAnsi="宋体"/>
          <w:color w:val="auto"/>
          <w:highlight w:val="none"/>
          <w:lang w:val="en-US" w:eastAsia="zh-CN"/>
        </w:rPr>
        <w:t>按维保付款时间</w:t>
      </w:r>
      <w:r>
        <w:rPr>
          <w:rFonts w:hint="eastAsia" w:hAnsi="宋体" w:cs="宋体"/>
          <w:color w:val="auto"/>
          <w:szCs w:val="21"/>
          <w:highlight w:val="none"/>
        </w:rPr>
        <w:t>开具发票</w:t>
      </w:r>
      <w:r>
        <w:rPr>
          <w:rFonts w:hint="eastAsia" w:hAnsi="宋体" w:cs="宋体"/>
          <w:color w:val="auto"/>
          <w:szCs w:val="21"/>
          <w:highlight w:val="none"/>
          <w:lang w:eastAsia="zh-CN"/>
        </w:rPr>
        <w:t>，</w:t>
      </w:r>
      <w:r>
        <w:rPr>
          <w:rFonts w:hint="eastAsia" w:hAnsi="宋体" w:cs="宋体"/>
          <w:color w:val="auto"/>
          <w:szCs w:val="21"/>
          <w:highlight w:val="none"/>
          <w:lang w:val="en-US" w:eastAsia="zh-CN"/>
        </w:rPr>
        <w:t>采购人收到发票</w:t>
      </w:r>
      <w:r>
        <w:rPr>
          <w:rFonts w:hint="eastAsia" w:hAnsi="宋体" w:cs="宋体"/>
          <w:color w:val="auto"/>
          <w:szCs w:val="21"/>
          <w:highlight w:val="none"/>
        </w:rPr>
        <w:t xml:space="preserve">之日起的30日内付至成交供应商指定账户。 </w:t>
      </w:r>
    </w:p>
    <w:p w14:paraId="6D7F3072">
      <w:pPr>
        <w:keepNext w:val="0"/>
        <w:keepLines w:val="0"/>
        <w:pageBreakBefore w:val="0"/>
        <w:kinsoku/>
        <w:wordWrap/>
        <w:overflowPunct/>
        <w:topLinePunct w:val="0"/>
        <w:autoSpaceDE/>
        <w:autoSpaceDN/>
        <w:bidi w:val="0"/>
        <w:adjustRightInd/>
        <w:snapToGrid/>
        <w:spacing w:line="400" w:lineRule="exact"/>
        <w:textAlignment w:val="auto"/>
        <w:rPr>
          <w:b/>
          <w:bCs/>
          <w:sz w:val="28"/>
          <w:szCs w:val="28"/>
          <w:highlight w:val="none"/>
        </w:rPr>
      </w:pPr>
      <w:r>
        <w:rPr>
          <w:rFonts w:hint="eastAsia"/>
          <w:b/>
          <w:bCs/>
          <w:sz w:val="28"/>
          <w:szCs w:val="28"/>
          <w:highlight w:val="none"/>
        </w:rPr>
        <w:t>2、服务期</w:t>
      </w:r>
    </w:p>
    <w:p w14:paraId="336EA0A3">
      <w:pPr>
        <w:keepNext w:val="0"/>
        <w:keepLines w:val="0"/>
        <w:pageBreakBefore w:val="0"/>
        <w:widowControl/>
        <w:kinsoku/>
        <w:wordWrap/>
        <w:overflowPunct/>
        <w:topLinePunct w:val="0"/>
        <w:autoSpaceDE/>
        <w:autoSpaceDN/>
        <w:bidi w:val="0"/>
        <w:adjustRightInd/>
        <w:snapToGrid/>
        <w:spacing w:line="400" w:lineRule="exact"/>
        <w:ind w:firstLine="420"/>
        <w:jc w:val="left"/>
        <w:textAlignment w:val="auto"/>
        <w:rPr>
          <w:b/>
          <w:bCs/>
          <w:sz w:val="28"/>
          <w:szCs w:val="28"/>
          <w:highlight w:val="none"/>
        </w:rPr>
      </w:pPr>
      <w:r>
        <w:rPr>
          <w:rFonts w:cs="宋体"/>
          <w:bCs/>
          <w:highlight w:val="none"/>
        </w:rPr>
        <w:tab/>
      </w:r>
      <w:r>
        <w:rPr>
          <w:rFonts w:hint="eastAsia" w:cs="宋体"/>
          <w:bCs/>
          <w:highlight w:val="none"/>
        </w:rPr>
        <w:t>服务期：3年。</w:t>
      </w:r>
    </w:p>
    <w:p w14:paraId="774705F0">
      <w:pPr>
        <w:keepNext w:val="0"/>
        <w:keepLines w:val="0"/>
        <w:pageBreakBefore w:val="0"/>
        <w:kinsoku/>
        <w:wordWrap/>
        <w:overflowPunct/>
        <w:topLinePunct w:val="0"/>
        <w:autoSpaceDE/>
        <w:autoSpaceDN/>
        <w:bidi w:val="0"/>
        <w:adjustRightInd/>
        <w:snapToGrid/>
        <w:spacing w:line="400" w:lineRule="exact"/>
        <w:textAlignment w:val="auto"/>
        <w:rPr>
          <w:b/>
          <w:bCs/>
          <w:sz w:val="28"/>
          <w:szCs w:val="28"/>
          <w:highlight w:val="none"/>
        </w:rPr>
      </w:pPr>
      <w:r>
        <w:rPr>
          <w:rFonts w:hint="eastAsia"/>
          <w:b/>
          <w:bCs/>
          <w:sz w:val="28"/>
          <w:szCs w:val="28"/>
          <w:highlight w:val="none"/>
        </w:rPr>
        <w:t>3、服务标准</w:t>
      </w:r>
    </w:p>
    <w:p w14:paraId="30E8AE46">
      <w:pPr>
        <w:keepNext w:val="0"/>
        <w:keepLines w:val="0"/>
        <w:pageBreakBefore w:val="0"/>
        <w:kinsoku/>
        <w:wordWrap/>
        <w:overflowPunct/>
        <w:topLinePunct w:val="0"/>
        <w:autoSpaceDE/>
        <w:autoSpaceDN/>
        <w:bidi w:val="0"/>
        <w:adjustRightInd/>
        <w:snapToGrid/>
        <w:spacing w:line="400" w:lineRule="exact"/>
        <w:textAlignment w:val="auto"/>
        <w:rPr>
          <w:highlight w:val="none"/>
        </w:rPr>
      </w:pPr>
      <w:r>
        <w:rPr>
          <w:highlight w:val="none"/>
        </w:rPr>
        <w:tab/>
      </w:r>
      <w:r>
        <w:rPr>
          <w:rFonts w:hint="eastAsia"/>
          <w:highlight w:val="none"/>
        </w:rPr>
        <w:t>（1）投标人提供的服务应符合国家、地方及相关政府管理部门和行业与本项目有关的各项服务标准、规范、规章要求，并满足采购人实际需求，标准、规范等不一致的，以要求高的为准。</w:t>
      </w:r>
    </w:p>
    <w:p w14:paraId="2DEF5DD2">
      <w:pPr>
        <w:keepNext w:val="0"/>
        <w:keepLines w:val="0"/>
        <w:pageBreakBefore w:val="0"/>
        <w:kinsoku/>
        <w:wordWrap/>
        <w:overflowPunct/>
        <w:topLinePunct w:val="0"/>
        <w:autoSpaceDE/>
        <w:autoSpaceDN/>
        <w:bidi w:val="0"/>
        <w:adjustRightInd/>
        <w:snapToGrid/>
        <w:spacing w:line="400" w:lineRule="exact"/>
        <w:ind w:left="420"/>
        <w:textAlignment w:val="auto"/>
        <w:rPr>
          <w:highlight w:val="none"/>
        </w:rPr>
      </w:pPr>
      <w:r>
        <w:rPr>
          <w:rFonts w:hint="eastAsia"/>
          <w:highlight w:val="none"/>
        </w:rPr>
        <w:t>（2）在项目服务实施期间，中标人应严格执行国家、地方、行业各项有关本项目业务管理和安全作业的法律、法规和制度，积极主动加强和服务业务及安全等有关的管理工作，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p>
    <w:p w14:paraId="3905BB72">
      <w:pPr>
        <w:keepNext w:val="0"/>
        <w:keepLines w:val="0"/>
        <w:pageBreakBefore w:val="0"/>
        <w:kinsoku/>
        <w:wordWrap/>
        <w:overflowPunct/>
        <w:topLinePunct w:val="0"/>
        <w:autoSpaceDE/>
        <w:autoSpaceDN/>
        <w:bidi w:val="0"/>
        <w:adjustRightInd/>
        <w:snapToGrid/>
        <w:spacing w:line="400" w:lineRule="exact"/>
        <w:textAlignment w:val="auto"/>
        <w:rPr>
          <w:b/>
          <w:bCs/>
          <w:sz w:val="28"/>
          <w:szCs w:val="28"/>
          <w:highlight w:val="none"/>
        </w:rPr>
      </w:pPr>
      <w:r>
        <w:rPr>
          <w:rFonts w:hint="eastAsia"/>
          <w:b/>
          <w:bCs/>
          <w:sz w:val="28"/>
          <w:szCs w:val="28"/>
          <w:highlight w:val="none"/>
        </w:rPr>
        <w:t>4、其他</w:t>
      </w:r>
    </w:p>
    <w:p w14:paraId="3EF636ED">
      <w:pPr>
        <w:pStyle w:val="447"/>
        <w:spacing w:line="360" w:lineRule="auto"/>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投标方所提供的保修服务，都将提供设备维修服务报告。</w:t>
      </w:r>
    </w:p>
    <w:p w14:paraId="45F50A6E">
      <w:pPr>
        <w:keepNext w:val="0"/>
        <w:keepLines w:val="0"/>
        <w:pageBreakBefore w:val="0"/>
        <w:kinsoku/>
        <w:wordWrap/>
        <w:overflowPunct/>
        <w:topLinePunct w:val="0"/>
        <w:autoSpaceDE/>
        <w:autoSpaceDN/>
        <w:bidi w:val="0"/>
        <w:adjustRightInd/>
        <w:snapToGrid/>
        <w:spacing w:line="400" w:lineRule="exact"/>
        <w:textAlignment w:val="auto"/>
        <w:rPr>
          <w:b/>
          <w:bCs/>
          <w:sz w:val="28"/>
          <w:szCs w:val="28"/>
          <w:highlight w:val="none"/>
        </w:rPr>
      </w:pPr>
      <w:r>
        <w:rPr>
          <w:rFonts w:hint="eastAsia"/>
          <w:b/>
          <w:bCs/>
          <w:sz w:val="28"/>
          <w:szCs w:val="28"/>
          <w:highlight w:val="none"/>
        </w:rPr>
        <w:t>5、其他</w:t>
      </w:r>
    </w:p>
    <w:p w14:paraId="7E6DB9E3">
      <w:pPr>
        <w:ind w:firstLine="480" w:firstLineChars="200"/>
        <w:rPr>
          <w:rFonts w:cs="宋体"/>
          <w:b w:val="0"/>
          <w:bCs w:val="0"/>
          <w:color w:val="000000"/>
          <w:sz w:val="24"/>
          <w:szCs w:val="28"/>
          <w:highlight w:val="none"/>
        </w:rPr>
      </w:pPr>
      <w:r>
        <w:rPr>
          <w:rFonts w:hint="eastAsia" w:cs="宋体"/>
          <w:b w:val="0"/>
          <w:bCs w:val="0"/>
          <w:color w:val="000000"/>
          <w:sz w:val="24"/>
          <w:szCs w:val="28"/>
          <w:highlight w:val="none"/>
        </w:rPr>
        <w:t>如投标方没有按照合同规定进行维保服务，每逾期一日，投标方应按年度合同金额的1%计算，但该违约金总额不超过年度合同总金额的10%。</w:t>
      </w:r>
      <w:bookmarkStart w:id="84" w:name="_Hlk100650392"/>
      <w:r>
        <w:rPr>
          <w:rFonts w:hint="eastAsia" w:cs="宋体"/>
          <w:b w:val="0"/>
          <w:bCs w:val="0"/>
          <w:color w:val="000000"/>
          <w:sz w:val="24"/>
          <w:szCs w:val="28"/>
          <w:highlight w:val="none"/>
          <w:lang w:val="en-US" w:eastAsia="zh-CN"/>
        </w:rPr>
        <w:t>如</w:t>
      </w:r>
      <w:r>
        <w:rPr>
          <w:rFonts w:hint="eastAsia" w:cs="宋体"/>
          <w:b w:val="0"/>
          <w:bCs w:val="0"/>
          <w:color w:val="000000"/>
          <w:sz w:val="24"/>
          <w:szCs w:val="28"/>
          <w:highlight w:val="none"/>
        </w:rPr>
        <w:t>投标方无正当理由逾期不进行维保服</w:t>
      </w:r>
      <w:bookmarkEnd w:id="84"/>
      <w:r>
        <w:rPr>
          <w:rFonts w:hint="eastAsia" w:cs="宋体"/>
          <w:b w:val="0"/>
          <w:bCs w:val="0"/>
          <w:color w:val="000000"/>
          <w:sz w:val="24"/>
          <w:szCs w:val="28"/>
          <w:highlight w:val="none"/>
        </w:rPr>
        <w:t>务</w:t>
      </w:r>
      <w:r>
        <w:rPr>
          <w:rFonts w:hint="eastAsia" w:cs="宋体"/>
          <w:b w:val="0"/>
          <w:bCs w:val="0"/>
          <w:color w:val="000000"/>
          <w:sz w:val="24"/>
          <w:szCs w:val="28"/>
          <w:highlight w:val="none"/>
          <w:lang w:val="en-US" w:eastAsia="zh-CN"/>
        </w:rPr>
        <w:t>累计</w:t>
      </w:r>
      <w:r>
        <w:rPr>
          <w:rFonts w:hint="eastAsia" w:cs="宋体"/>
          <w:b w:val="0"/>
          <w:bCs w:val="0"/>
          <w:color w:val="000000"/>
          <w:sz w:val="24"/>
          <w:szCs w:val="28"/>
          <w:highlight w:val="none"/>
        </w:rPr>
        <w:t>10日以上的，则视</w:t>
      </w:r>
      <w:r>
        <w:rPr>
          <w:rFonts w:hint="eastAsia" w:cs="宋体"/>
          <w:b w:val="0"/>
          <w:bCs w:val="0"/>
          <w:color w:val="000000"/>
          <w:sz w:val="24"/>
          <w:szCs w:val="28"/>
          <w:highlight w:val="none"/>
          <w:lang w:val="en-US" w:eastAsia="zh-CN"/>
        </w:rPr>
        <w:t>为</w:t>
      </w:r>
      <w:r>
        <w:rPr>
          <w:rFonts w:hint="eastAsia" w:cs="宋体"/>
          <w:b w:val="0"/>
          <w:bCs w:val="0"/>
          <w:color w:val="000000"/>
          <w:sz w:val="24"/>
          <w:szCs w:val="28"/>
          <w:highlight w:val="none"/>
        </w:rPr>
        <w:t>不能提供正常维保，</w:t>
      </w:r>
      <w:r>
        <w:rPr>
          <w:rFonts w:hint="eastAsia" w:cs="宋体"/>
          <w:b w:val="0"/>
          <w:bCs w:val="0"/>
          <w:color w:val="000000"/>
          <w:sz w:val="24"/>
          <w:szCs w:val="28"/>
          <w:highlight w:val="none"/>
          <w:lang w:val="en-US" w:eastAsia="zh-CN"/>
        </w:rPr>
        <w:t>医院</w:t>
      </w:r>
      <w:r>
        <w:rPr>
          <w:rFonts w:hint="eastAsia" w:cs="宋体"/>
          <w:b w:val="0"/>
          <w:bCs w:val="0"/>
          <w:color w:val="000000"/>
          <w:sz w:val="24"/>
          <w:szCs w:val="28"/>
          <w:highlight w:val="none"/>
        </w:rPr>
        <w:t>有权因此解除合同，同时投标方应承担由此产生的直接损失</w:t>
      </w:r>
      <w:r>
        <w:rPr>
          <w:rFonts w:hint="eastAsia" w:cs="宋体"/>
          <w:b w:val="0"/>
          <w:bCs w:val="0"/>
          <w:color w:val="000000"/>
          <w:sz w:val="24"/>
          <w:szCs w:val="28"/>
          <w:highlight w:val="none"/>
          <w:lang w:eastAsia="zh-CN"/>
        </w:rPr>
        <w:t>，</w:t>
      </w:r>
      <w:r>
        <w:rPr>
          <w:rFonts w:hint="eastAsia" w:cs="宋体"/>
          <w:b w:val="0"/>
          <w:bCs w:val="0"/>
          <w:color w:val="000000"/>
          <w:sz w:val="24"/>
          <w:szCs w:val="28"/>
          <w:highlight w:val="none"/>
        </w:rPr>
        <w:t>乙方向甲方承担的全部赔偿额每年累计不超过该年度的合同金额。</w:t>
      </w:r>
    </w:p>
    <w:p w14:paraId="2CC767E1">
      <w:pPr>
        <w:rPr>
          <w:b/>
          <w:bCs/>
          <w:sz w:val="96"/>
          <w:szCs w:val="44"/>
          <w:highlight w:val="none"/>
        </w:rPr>
      </w:pPr>
      <w:r>
        <w:rPr>
          <w:rFonts w:hint="eastAsia" w:cs="宋体"/>
          <w:b/>
          <w:bCs/>
          <w:color w:val="000000"/>
          <w:sz w:val="36"/>
          <w:szCs w:val="40"/>
          <w:highlight w:val="none"/>
        </w:rPr>
        <w:t>注：带</w:t>
      </w:r>
      <w:r>
        <w:rPr>
          <w:rFonts w:hint="eastAsia" w:hAnsi="宋体"/>
          <w:bCs/>
          <w:color w:val="auto"/>
          <w:sz w:val="28"/>
          <w:szCs w:val="28"/>
          <w:highlight w:val="none"/>
        </w:rPr>
        <w:t>★</w:t>
      </w:r>
      <w:r>
        <w:rPr>
          <w:rFonts w:hint="eastAsia" w:cs="宋体"/>
          <w:b/>
          <w:bCs/>
          <w:color w:val="000000"/>
          <w:sz w:val="36"/>
          <w:szCs w:val="40"/>
          <w:highlight w:val="none"/>
        </w:rPr>
        <w:t>条款为实质性条款，负偏离视为无效文件。</w:t>
      </w:r>
    </w:p>
    <w:p w14:paraId="2A3A6681">
      <w:pPr>
        <w:widowControl/>
        <w:jc w:val="left"/>
        <w:rPr>
          <w:rFonts w:hint="eastAsia" w:ascii="宋体" w:hAnsi="宋体" w:cstheme="minorBidi"/>
          <w:b/>
          <w:bCs/>
          <w:sz w:val="24"/>
          <w:szCs w:val="24"/>
          <w:highlight w:val="none"/>
          <w14:ligatures w14:val="standardContextual"/>
        </w:rPr>
      </w:pPr>
      <w:r>
        <w:rPr>
          <w:rFonts w:hint="eastAsia" w:ascii="宋体" w:hAnsi="宋体" w:cstheme="minorBidi"/>
          <w:b/>
          <w:bCs/>
          <w:sz w:val="24"/>
          <w:szCs w:val="24"/>
          <w:highlight w:val="none"/>
          <w14:ligatures w14:val="standardContextual"/>
        </w:rPr>
        <w:br w:type="page" w:clear="all"/>
      </w:r>
    </w:p>
    <w:p w14:paraId="11B286C9">
      <w:pPr>
        <w:spacing w:line="360" w:lineRule="auto"/>
        <w:ind w:firstLine="883"/>
        <w:jc w:val="center"/>
        <w:outlineLvl w:val="0"/>
        <w:rPr>
          <w:rFonts w:ascii="Calibri"/>
          <w:b/>
          <w:sz w:val="44"/>
          <w:szCs w:val="44"/>
          <w:highlight w:val="none"/>
        </w:rPr>
      </w:pPr>
      <w:r>
        <w:rPr>
          <w:rFonts w:hint="eastAsia" w:ascii="Calibri"/>
          <w:b/>
          <w:sz w:val="44"/>
          <w:szCs w:val="44"/>
          <w:highlight w:val="none"/>
        </w:rPr>
        <w:t>第五部分  合同格式及条款</w:t>
      </w:r>
      <w:bookmarkEnd w:id="78"/>
      <w:bookmarkEnd w:id="79"/>
    </w:p>
    <w:p w14:paraId="1A139FEB">
      <w:pPr>
        <w:spacing w:line="360" w:lineRule="auto"/>
        <w:ind w:firstLine="643"/>
        <w:jc w:val="center"/>
        <w:rPr>
          <w:rFonts w:hint="eastAsia" w:ascii="宋体" w:hAnsi="宋体" w:cs="宋体"/>
          <w:b/>
          <w:sz w:val="36"/>
          <w:szCs w:val="32"/>
          <w:highlight w:val="none"/>
        </w:rPr>
      </w:pPr>
      <w:bookmarkStart w:id="85" w:name="_Toc6085"/>
      <w:bookmarkStart w:id="86" w:name="_Toc514054483"/>
      <w:bookmarkStart w:id="87" w:name="_Toc12366"/>
      <w:r>
        <w:rPr>
          <w:rFonts w:hint="eastAsia" w:ascii="宋体" w:hAnsi="宋体" w:cs="宋体"/>
          <w:b/>
          <w:sz w:val="36"/>
          <w:szCs w:val="32"/>
          <w:highlight w:val="none"/>
        </w:rPr>
        <w:t>（参考格式</w:t>
      </w:r>
      <w:r>
        <w:rPr>
          <w:rFonts w:hint="eastAsia" w:ascii="宋体" w:hAnsi="宋体" w:cs="宋体"/>
          <w:sz w:val="36"/>
          <w:szCs w:val="32"/>
          <w:highlight w:val="none"/>
          <w:vertAlign w:val="superscript"/>
        </w:rPr>
        <w:footnoteReference w:id="0"/>
      </w:r>
      <w:r>
        <w:rPr>
          <w:rFonts w:hint="eastAsia" w:ascii="宋体" w:hAnsi="宋体" w:cs="宋体"/>
          <w:b/>
          <w:sz w:val="36"/>
          <w:szCs w:val="32"/>
          <w:highlight w:val="none"/>
        </w:rPr>
        <w:t>）</w:t>
      </w:r>
      <w:bookmarkEnd w:id="85"/>
    </w:p>
    <w:p w14:paraId="79D9711D">
      <w:pPr>
        <w:jc w:val="center"/>
        <w:rPr>
          <w:rFonts w:hint="eastAsia" w:ascii="华文仿宋" w:hAnsi="华文仿宋" w:eastAsia="华文仿宋" w:cs="华文仿宋"/>
          <w:b/>
          <w:bCs/>
          <w:color w:val="auto"/>
          <w:sz w:val="44"/>
          <w:szCs w:val="44"/>
          <w:highlight w:val="none"/>
        </w:rPr>
      </w:pPr>
      <w:r>
        <w:rPr>
          <w:rFonts w:hint="eastAsia" w:ascii="华文仿宋" w:hAnsi="华文仿宋" w:eastAsia="华文仿宋" w:cs="华文仿宋"/>
          <w:b/>
          <w:bCs/>
          <w:color w:val="auto"/>
          <w:sz w:val="44"/>
          <w:szCs w:val="44"/>
          <w:highlight w:val="none"/>
          <w:lang w:val="en-US" w:eastAsia="zh-CN"/>
        </w:rPr>
        <w:t>医疗设备</w:t>
      </w:r>
      <w:r>
        <w:rPr>
          <w:rFonts w:hint="eastAsia" w:ascii="华文仿宋" w:hAnsi="华文仿宋" w:eastAsia="华文仿宋" w:cs="华文仿宋"/>
          <w:b/>
          <w:bCs/>
          <w:color w:val="auto"/>
          <w:sz w:val="44"/>
          <w:szCs w:val="44"/>
          <w:highlight w:val="none"/>
        </w:rPr>
        <w:t>保修服务考核表</w:t>
      </w:r>
    </w:p>
    <w:p w14:paraId="6BD609DD">
      <w:pP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合同号：</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u w:val="single"/>
        </w:rPr>
        <w:t xml:space="preserve">     </w:t>
      </w:r>
      <w:r>
        <w:rPr>
          <w:rFonts w:hint="eastAsia" w:ascii="华文仿宋" w:hAnsi="华文仿宋" w:eastAsia="华文仿宋" w:cs="华文仿宋"/>
          <w:color w:val="auto"/>
          <w:sz w:val="28"/>
          <w:szCs w:val="28"/>
          <w:highlight w:val="none"/>
        </w:rPr>
        <w:t xml:space="preserve">  </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4433"/>
        <w:gridCol w:w="3076"/>
      </w:tblGrid>
      <w:tr w14:paraId="2063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379" w:type="dxa"/>
            <w:gridSpan w:val="3"/>
          </w:tcPr>
          <w:p w14:paraId="6AFB205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lang w:eastAsia="zh-CN"/>
              </w:rPr>
            </w:pPr>
            <w:r>
              <w:rPr>
                <w:rFonts w:hint="eastAsia" w:ascii="华文仿宋" w:hAnsi="华文仿宋" w:eastAsia="华文仿宋" w:cs="华文仿宋"/>
                <w:color w:val="auto"/>
                <w:sz w:val="28"/>
                <w:szCs w:val="28"/>
                <w:highlight w:val="none"/>
              </w:rPr>
              <w:t>保修设备名称</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 xml:space="preserve">                </w:t>
            </w:r>
            <w:r>
              <w:rPr>
                <w:rFonts w:hint="eastAsia" w:ascii="华文仿宋" w:hAnsi="华文仿宋" w:eastAsia="华文仿宋" w:cs="华文仿宋"/>
                <w:color w:val="auto"/>
                <w:sz w:val="28"/>
                <w:szCs w:val="28"/>
                <w:highlight w:val="none"/>
              </w:rPr>
              <w:t>使用科室</w:t>
            </w:r>
            <w:r>
              <w:rPr>
                <w:rFonts w:hint="eastAsia" w:ascii="华文仿宋" w:hAnsi="华文仿宋" w:eastAsia="华文仿宋" w:cs="华文仿宋"/>
                <w:color w:val="auto"/>
                <w:sz w:val="28"/>
                <w:szCs w:val="28"/>
                <w:highlight w:val="none"/>
                <w:lang w:eastAsia="zh-CN"/>
              </w:rPr>
              <w:t>：</w:t>
            </w:r>
          </w:p>
        </w:tc>
      </w:tr>
      <w:tr w14:paraId="6AE0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379" w:type="dxa"/>
            <w:gridSpan w:val="3"/>
          </w:tcPr>
          <w:p w14:paraId="49CC7DEF">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考核周期</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20</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年</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月至20</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年_</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月</w:t>
            </w:r>
          </w:p>
        </w:tc>
      </w:tr>
      <w:tr w14:paraId="224F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78A6DE3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序号</w:t>
            </w:r>
          </w:p>
        </w:tc>
        <w:tc>
          <w:tcPr>
            <w:tcW w:w="4433" w:type="dxa"/>
          </w:tcPr>
          <w:p w14:paraId="4E8DF52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考核项目</w:t>
            </w:r>
          </w:p>
        </w:tc>
        <w:tc>
          <w:tcPr>
            <w:tcW w:w="3076" w:type="dxa"/>
          </w:tcPr>
          <w:p w14:paraId="29FB05D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得分</w:t>
            </w:r>
          </w:p>
        </w:tc>
      </w:tr>
      <w:tr w14:paraId="534E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1668DF4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1</w:t>
            </w:r>
          </w:p>
        </w:tc>
        <w:tc>
          <w:tcPr>
            <w:tcW w:w="4433" w:type="dxa"/>
          </w:tcPr>
          <w:p w14:paraId="36D72DE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电话响应时间≤2小时（10分）</w:t>
            </w:r>
          </w:p>
        </w:tc>
        <w:tc>
          <w:tcPr>
            <w:tcW w:w="3076" w:type="dxa"/>
          </w:tcPr>
          <w:p w14:paraId="373E4AD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6D5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1F280B9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2</w:t>
            </w:r>
          </w:p>
        </w:tc>
        <w:tc>
          <w:tcPr>
            <w:tcW w:w="4433" w:type="dxa"/>
          </w:tcPr>
          <w:p w14:paraId="0BFC9F2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到达现场时间≤24小时（10分）</w:t>
            </w:r>
          </w:p>
        </w:tc>
        <w:tc>
          <w:tcPr>
            <w:tcW w:w="3076" w:type="dxa"/>
          </w:tcPr>
          <w:p w14:paraId="3D62F56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4319C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64DDF57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3</w:t>
            </w:r>
          </w:p>
        </w:tc>
        <w:tc>
          <w:tcPr>
            <w:tcW w:w="4433" w:type="dxa"/>
          </w:tcPr>
          <w:p w14:paraId="6C55D81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开机率≥95%（20分）</w:t>
            </w:r>
          </w:p>
        </w:tc>
        <w:tc>
          <w:tcPr>
            <w:tcW w:w="3076" w:type="dxa"/>
          </w:tcPr>
          <w:p w14:paraId="769D524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5D2E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34DEB67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4</w:t>
            </w:r>
          </w:p>
        </w:tc>
        <w:tc>
          <w:tcPr>
            <w:tcW w:w="4433" w:type="dxa"/>
          </w:tcPr>
          <w:p w14:paraId="16D9008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lang w:val="en-US" w:eastAsia="zh-CN"/>
              </w:rPr>
              <w:t>原厂全新或</w:t>
            </w:r>
            <w:r>
              <w:rPr>
                <w:rFonts w:hint="eastAsia" w:ascii="华文仿宋" w:hAnsi="华文仿宋" w:eastAsia="华文仿宋" w:cs="华文仿宋"/>
                <w:color w:val="auto"/>
                <w:sz w:val="28"/>
                <w:szCs w:val="28"/>
                <w:highlight w:val="none"/>
              </w:rPr>
              <w:t>性能相当配件（10分）</w:t>
            </w:r>
          </w:p>
        </w:tc>
        <w:tc>
          <w:tcPr>
            <w:tcW w:w="3076" w:type="dxa"/>
          </w:tcPr>
          <w:p w14:paraId="545F022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643C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411D7F0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5</w:t>
            </w:r>
          </w:p>
        </w:tc>
        <w:tc>
          <w:tcPr>
            <w:tcW w:w="4433" w:type="dxa"/>
          </w:tcPr>
          <w:p w14:paraId="743C2F9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预防性</w:t>
            </w:r>
            <w:r>
              <w:rPr>
                <w:rFonts w:hint="eastAsia" w:ascii="华文仿宋" w:hAnsi="华文仿宋" w:eastAsia="华文仿宋" w:cs="华文仿宋"/>
                <w:color w:val="auto"/>
                <w:sz w:val="28"/>
                <w:szCs w:val="28"/>
                <w:highlight w:val="none"/>
                <w:lang w:val="en-US" w:eastAsia="zh-CN"/>
              </w:rPr>
              <w:t>维护</w:t>
            </w:r>
            <w:r>
              <w:rPr>
                <w:rFonts w:hint="eastAsia" w:ascii="华文仿宋" w:hAnsi="华文仿宋" w:eastAsia="华文仿宋" w:cs="华文仿宋"/>
                <w:color w:val="auto"/>
                <w:sz w:val="28"/>
                <w:szCs w:val="28"/>
                <w:highlight w:val="none"/>
              </w:rPr>
              <w:t>≥2次/年（10分）</w:t>
            </w:r>
          </w:p>
        </w:tc>
        <w:tc>
          <w:tcPr>
            <w:tcW w:w="3076" w:type="dxa"/>
          </w:tcPr>
          <w:p w14:paraId="245C128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8CB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28FAA88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6</w:t>
            </w:r>
          </w:p>
        </w:tc>
        <w:tc>
          <w:tcPr>
            <w:tcW w:w="4433" w:type="dxa"/>
          </w:tcPr>
          <w:p w14:paraId="203DF72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定期巡检情况（10分）</w:t>
            </w:r>
          </w:p>
        </w:tc>
        <w:tc>
          <w:tcPr>
            <w:tcW w:w="3076" w:type="dxa"/>
          </w:tcPr>
          <w:p w14:paraId="4B184E8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0DD5E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70" w:type="dxa"/>
          </w:tcPr>
          <w:p w14:paraId="74A92B4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7</w:t>
            </w:r>
          </w:p>
        </w:tc>
        <w:tc>
          <w:tcPr>
            <w:tcW w:w="4433" w:type="dxa"/>
          </w:tcPr>
          <w:p w14:paraId="011E35F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日常</w:t>
            </w:r>
            <w:r>
              <w:rPr>
                <w:rFonts w:hint="eastAsia" w:ascii="华文仿宋" w:hAnsi="华文仿宋" w:eastAsia="华文仿宋" w:cs="华文仿宋"/>
                <w:color w:val="auto"/>
                <w:sz w:val="28"/>
                <w:szCs w:val="28"/>
                <w:highlight w:val="none"/>
                <w:lang w:val="en-US" w:eastAsia="zh-CN"/>
              </w:rPr>
              <w:t>维修</w:t>
            </w:r>
            <w:r>
              <w:rPr>
                <w:rFonts w:hint="eastAsia" w:ascii="华文仿宋" w:hAnsi="华文仿宋" w:eastAsia="华文仿宋" w:cs="华文仿宋"/>
                <w:color w:val="auto"/>
                <w:sz w:val="28"/>
                <w:szCs w:val="28"/>
                <w:highlight w:val="none"/>
              </w:rPr>
              <w:t>服务情况（10分）</w:t>
            </w:r>
          </w:p>
        </w:tc>
        <w:tc>
          <w:tcPr>
            <w:tcW w:w="3076" w:type="dxa"/>
          </w:tcPr>
          <w:p w14:paraId="4A7822F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2FF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70" w:type="dxa"/>
          </w:tcPr>
          <w:p w14:paraId="78DF90B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8</w:t>
            </w:r>
          </w:p>
        </w:tc>
        <w:tc>
          <w:tcPr>
            <w:tcW w:w="4433" w:type="dxa"/>
          </w:tcPr>
          <w:p w14:paraId="324E80D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维保人员工作态度（10分）</w:t>
            </w:r>
          </w:p>
        </w:tc>
        <w:tc>
          <w:tcPr>
            <w:tcW w:w="3076" w:type="dxa"/>
          </w:tcPr>
          <w:p w14:paraId="0A0633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5A24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70" w:type="dxa"/>
          </w:tcPr>
          <w:p w14:paraId="38D47F7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9</w:t>
            </w:r>
          </w:p>
        </w:tc>
        <w:tc>
          <w:tcPr>
            <w:tcW w:w="4433" w:type="dxa"/>
          </w:tcPr>
          <w:p w14:paraId="1F27387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维保人员业务水平（10分）</w:t>
            </w:r>
          </w:p>
        </w:tc>
        <w:tc>
          <w:tcPr>
            <w:tcW w:w="3076" w:type="dxa"/>
          </w:tcPr>
          <w:p w14:paraId="4D096D9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0EBA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303" w:type="dxa"/>
            <w:gridSpan w:val="2"/>
          </w:tcPr>
          <w:p w14:paraId="76707E6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总分</w:t>
            </w:r>
          </w:p>
        </w:tc>
        <w:tc>
          <w:tcPr>
            <w:tcW w:w="3076" w:type="dxa"/>
          </w:tcPr>
          <w:p w14:paraId="0663BDA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2D4B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379" w:type="dxa"/>
            <w:gridSpan w:val="3"/>
          </w:tcPr>
          <w:p w14:paraId="17691C7F">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rPr>
              <w:t>使用科室签字</w:t>
            </w:r>
            <w:r>
              <w:rPr>
                <w:rFonts w:hint="eastAsia" w:ascii="华文仿宋" w:hAnsi="华文仿宋" w:eastAsia="华文仿宋" w:cs="华文仿宋"/>
                <w:color w:val="auto"/>
                <w:sz w:val="28"/>
                <w:szCs w:val="28"/>
                <w:highlight w:val="none"/>
                <w:lang w:eastAsia="zh-CN"/>
              </w:rPr>
              <w:t>：</w:t>
            </w:r>
          </w:p>
          <w:p w14:paraId="150A6635">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lang w:eastAsia="zh-CN"/>
              </w:rPr>
            </w:pPr>
          </w:p>
        </w:tc>
      </w:tr>
      <w:tr w14:paraId="2B3B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379" w:type="dxa"/>
            <w:gridSpan w:val="3"/>
          </w:tcPr>
          <w:p w14:paraId="463E23D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分管工程师签字</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ab/>
            </w:r>
          </w:p>
          <w:p w14:paraId="6E73288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p>
        </w:tc>
      </w:tr>
      <w:tr w14:paraId="447BD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379" w:type="dxa"/>
            <w:gridSpan w:val="3"/>
          </w:tcPr>
          <w:p w14:paraId="272FB6C8">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临床医学工程</w:t>
            </w:r>
            <w:r>
              <w:rPr>
                <w:rFonts w:hint="eastAsia" w:ascii="华文仿宋" w:hAnsi="华文仿宋" w:eastAsia="华文仿宋" w:cs="华文仿宋"/>
                <w:color w:val="auto"/>
                <w:sz w:val="28"/>
                <w:szCs w:val="28"/>
                <w:highlight w:val="none"/>
              </w:rPr>
              <w:t>处负责人签字</w:t>
            </w:r>
            <w:r>
              <w:rPr>
                <w:rFonts w:hint="eastAsia" w:ascii="华文仿宋" w:hAnsi="华文仿宋" w:eastAsia="华文仿宋" w:cs="华文仿宋"/>
                <w:color w:val="auto"/>
                <w:sz w:val="28"/>
                <w:szCs w:val="28"/>
                <w:highlight w:val="none"/>
                <w:lang w:eastAsia="zh-CN"/>
              </w:rPr>
              <w:t>：</w:t>
            </w:r>
          </w:p>
          <w:p w14:paraId="513276A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p>
        </w:tc>
      </w:tr>
    </w:tbl>
    <w:p w14:paraId="36CA43B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2"/>
          <w:szCs w:val="22"/>
          <w:highlight w:val="none"/>
        </w:rPr>
      </w:pPr>
      <w:r>
        <w:rPr>
          <w:rFonts w:hint="eastAsia" w:ascii="华文仿宋" w:hAnsi="华文仿宋" w:eastAsia="华文仿宋" w:cs="华文仿宋"/>
          <w:color w:val="auto"/>
          <w:sz w:val="22"/>
          <w:szCs w:val="22"/>
          <w:highlight w:val="none"/>
        </w:rPr>
        <w:t>1．本评分标准采取百分制，各项目分数累加后得出总分，用于评估整体服务质量。</w:t>
      </w:r>
    </w:p>
    <w:p w14:paraId="1C0B365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2"/>
          <w:szCs w:val="22"/>
          <w:highlight w:val="none"/>
        </w:rPr>
      </w:pPr>
      <w:r>
        <w:rPr>
          <w:rFonts w:hint="eastAsia" w:ascii="华文仿宋" w:hAnsi="华文仿宋" w:eastAsia="华文仿宋" w:cs="华文仿宋"/>
          <w:color w:val="auto"/>
          <w:sz w:val="22"/>
          <w:szCs w:val="22"/>
          <w:highlight w:val="none"/>
        </w:rPr>
        <w:t>2．考核采用每年考核一次。若连续2次考核不合格，则甲方有权终止此项合同，且不承担任何责任并付款义务。</w:t>
      </w:r>
    </w:p>
    <w:p w14:paraId="42599D4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2"/>
          <w:szCs w:val="22"/>
          <w:highlight w:val="none"/>
        </w:rPr>
      </w:pPr>
      <w:r>
        <w:rPr>
          <w:rFonts w:hint="eastAsia" w:ascii="华文仿宋" w:hAnsi="华文仿宋" w:eastAsia="华文仿宋" w:cs="华文仿宋"/>
          <w:color w:val="auto"/>
          <w:sz w:val="22"/>
          <w:szCs w:val="22"/>
          <w:highlight w:val="none"/>
        </w:rPr>
        <w:t>3．对于未达到最低要求的项目，将根据实际情况给予扣分，并要求限期整改。</w:t>
      </w:r>
    </w:p>
    <w:p w14:paraId="67FE42B5">
      <w:pPr>
        <w:pStyle w:val="447"/>
        <w:spacing w:after="0" w:line="36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2"/>
          <w:szCs w:val="22"/>
          <w:highlight w:val="none"/>
        </w:rPr>
        <w:t>4．考核结果将作为维保单位服务质量评价、资金分配及合作续签的重要依据。根据考核内容综合给予考核分值（满分为100分），根据考核分值核算结算款的发放：对中标</w:t>
      </w:r>
      <w:r>
        <w:rPr>
          <w:rFonts w:hint="eastAsia" w:ascii="华文仿宋" w:hAnsi="华文仿宋" w:eastAsia="华文仿宋" w:cs="华文仿宋"/>
          <w:color w:val="auto"/>
          <w:sz w:val="22"/>
          <w:szCs w:val="22"/>
          <w:highlight w:val="none"/>
          <w:lang w:val="en-US" w:eastAsia="zh-CN"/>
        </w:rPr>
        <w:t>服务商</w:t>
      </w:r>
      <w:r>
        <w:rPr>
          <w:rFonts w:hint="eastAsia" w:ascii="华文仿宋" w:hAnsi="华文仿宋" w:eastAsia="华文仿宋" w:cs="华文仿宋"/>
          <w:color w:val="auto"/>
          <w:sz w:val="22"/>
          <w:szCs w:val="22"/>
          <w:highlight w:val="none"/>
        </w:rPr>
        <w:t>实行每年度考核，每年度得分在90分及以上全额支付款项，低于90分，每低一分扣除中标人1%的一个年度的合同款，扣款在结算款中直接扣除。</w:t>
      </w:r>
      <w:r>
        <w:rPr>
          <w:rFonts w:hint="eastAsia" w:ascii="华文仿宋" w:hAnsi="华文仿宋" w:eastAsia="华文仿宋" w:cs="华文仿宋"/>
          <w:color w:val="auto"/>
          <w:sz w:val="28"/>
          <w:szCs w:val="28"/>
          <w:highlight w:val="none"/>
        </w:rPr>
        <w:t>　</w:t>
      </w:r>
    </w:p>
    <w:p w14:paraId="5C6A1253">
      <w:pPr>
        <w:pStyle w:val="447"/>
        <w:spacing w:after="0" w:line="360" w:lineRule="auto"/>
        <w:rPr>
          <w:rFonts w:hint="eastAsia" w:ascii="华文仿宋" w:hAnsi="华文仿宋" w:eastAsia="华文仿宋" w:cs="华文仿宋"/>
          <w:color w:val="auto"/>
          <w:sz w:val="28"/>
          <w:szCs w:val="28"/>
          <w:highlight w:val="none"/>
        </w:rPr>
      </w:pPr>
    </w:p>
    <w:p w14:paraId="6A00EBA4">
      <w:pPr>
        <w:pStyle w:val="447"/>
        <w:spacing w:after="0" w:line="360" w:lineRule="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医疗设备维保合同模版</w:t>
      </w:r>
    </w:p>
    <w:p w14:paraId="723A937E">
      <w:pPr>
        <w:spacing w:line="360" w:lineRule="auto"/>
        <w:jc w:val="center"/>
        <w:rPr>
          <w:rFonts w:hint="eastAsia"/>
          <w:b/>
          <w:color w:val="auto"/>
          <w:sz w:val="32"/>
          <w:szCs w:val="32"/>
          <w:highlight w:val="none"/>
        </w:rPr>
      </w:pPr>
      <w:r>
        <w:rPr>
          <w:rFonts w:hint="eastAsia"/>
          <w:b/>
          <w:color w:val="auto"/>
          <w:sz w:val="32"/>
          <w:szCs w:val="32"/>
          <w:highlight w:val="none"/>
        </w:rPr>
        <w:t>南京市第一医院医疗设备维保服务合同</w:t>
      </w:r>
    </w:p>
    <w:p w14:paraId="54122A40">
      <w:pPr>
        <w:spacing w:line="360" w:lineRule="auto"/>
        <w:rPr>
          <w:color w:val="auto"/>
          <w:highlight w:val="none"/>
          <w:u w:val="single"/>
        </w:rPr>
      </w:pPr>
      <w:r>
        <w:rPr>
          <w:rFonts w:hint="eastAsia"/>
          <w:b/>
          <w:color w:val="auto"/>
          <w:szCs w:val="21"/>
          <w:highlight w:val="none"/>
        </w:rPr>
        <w:t>甲方</w:t>
      </w:r>
      <w:r>
        <w:rPr>
          <w:rFonts w:hint="eastAsia"/>
          <w:color w:val="auto"/>
          <w:szCs w:val="21"/>
          <w:highlight w:val="none"/>
        </w:rPr>
        <w:t>：</w:t>
      </w:r>
      <w:r>
        <w:rPr>
          <w:rFonts w:hint="eastAsia"/>
          <w:color w:val="auto"/>
          <w:szCs w:val="21"/>
          <w:highlight w:val="none"/>
          <w:u w:val="single"/>
        </w:rPr>
        <w:t xml:space="preserve">    </w:t>
      </w:r>
      <w:r>
        <w:rPr>
          <w:rFonts w:hint="eastAsia" w:ascii="楷体_GB2312" w:eastAsia="楷体_GB2312"/>
          <w:b/>
          <w:color w:val="auto"/>
          <w:szCs w:val="21"/>
          <w:highlight w:val="none"/>
          <w:u w:val="single"/>
        </w:rPr>
        <w:t>南京市第一医院</w:t>
      </w:r>
      <w:r>
        <w:rPr>
          <w:b/>
          <w:color w:val="auto"/>
          <w:szCs w:val="21"/>
          <w:highlight w:val="none"/>
          <w:u w:val="single"/>
        </w:rPr>
        <w:t xml:space="preserve"> </w:t>
      </w:r>
      <w:r>
        <w:rPr>
          <w:rFonts w:hint="eastAsia"/>
          <w:b/>
          <w:color w:val="auto"/>
          <w:szCs w:val="21"/>
          <w:highlight w:val="none"/>
          <w:u w:val="single"/>
        </w:rPr>
        <w:t xml:space="preserve"> </w:t>
      </w:r>
      <w:r>
        <w:rPr>
          <w:b/>
          <w:color w:val="auto"/>
          <w:szCs w:val="21"/>
          <w:highlight w:val="none"/>
          <w:u w:val="single"/>
        </w:rPr>
        <w:t xml:space="preserve"> </w:t>
      </w:r>
      <w:r>
        <w:rPr>
          <w:b/>
          <w:color w:val="auto"/>
          <w:szCs w:val="21"/>
          <w:highlight w:val="none"/>
        </w:rPr>
        <w:t xml:space="preserve">  </w:t>
      </w:r>
      <w:r>
        <w:rPr>
          <w:color w:val="auto"/>
          <w:szCs w:val="21"/>
          <w:highlight w:val="none"/>
        </w:rPr>
        <w:t xml:space="preserve">            </w:t>
      </w:r>
      <w:r>
        <w:rPr>
          <w:rFonts w:hint="eastAsia"/>
          <w:color w:val="auto"/>
          <w:szCs w:val="21"/>
          <w:highlight w:val="none"/>
        </w:rPr>
        <w:t xml:space="preserve">         </w:t>
      </w:r>
      <w:r>
        <w:rPr>
          <w:rFonts w:hint="eastAsia"/>
          <w:b/>
          <w:color w:val="auto"/>
          <w:szCs w:val="21"/>
          <w:highlight w:val="none"/>
        </w:rPr>
        <w:t>乙方</w:t>
      </w:r>
      <w:r>
        <w:rPr>
          <w:rFonts w:hint="eastAsia"/>
          <w:color w:val="auto"/>
          <w:szCs w:val="21"/>
          <w:highlight w:val="none"/>
        </w:rPr>
        <w:t xml:space="preserve">： </w:t>
      </w:r>
      <w:r>
        <w:rPr>
          <w:rFonts w:hint="eastAsia"/>
          <w:color w:val="auto"/>
          <w:highlight w:val="none"/>
          <w:u w:val="single"/>
        </w:rPr>
        <w:t xml:space="preserve"> </w:t>
      </w:r>
      <w:r>
        <w:rPr>
          <w:rFonts w:hint="eastAsia" w:ascii="楷体_GB2312" w:eastAsia="楷体_GB2312"/>
          <w:b/>
          <w:color w:val="auto"/>
          <w:szCs w:val="21"/>
          <w:highlight w:val="none"/>
          <w:u w:val="single"/>
        </w:rPr>
        <w:t xml:space="preserve"> </w:t>
      </w:r>
      <w:r>
        <w:rPr>
          <w:rFonts w:ascii="楷体_GB2312" w:eastAsia="楷体_GB2312"/>
          <w:b/>
          <w:color w:val="auto"/>
          <w:szCs w:val="21"/>
          <w:highlight w:val="none"/>
          <w:u w:val="single"/>
        </w:rPr>
        <w:t xml:space="preserve">                   </w:t>
      </w:r>
      <w:r>
        <w:rPr>
          <w:rFonts w:hint="eastAsia" w:ascii="楷体_GB2312" w:eastAsia="楷体_GB2312"/>
          <w:b/>
          <w:color w:val="auto"/>
          <w:szCs w:val="21"/>
          <w:highlight w:val="none"/>
          <w:u w:val="single"/>
        </w:rPr>
        <w:t xml:space="preserve"> </w:t>
      </w:r>
      <w:r>
        <w:rPr>
          <w:rFonts w:hint="eastAsia"/>
          <w:color w:val="auto"/>
          <w:szCs w:val="21"/>
          <w:highlight w:val="none"/>
          <w:u w:val="single"/>
        </w:rPr>
        <w:t xml:space="preserve"> </w:t>
      </w:r>
    </w:p>
    <w:p w14:paraId="20CF517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甲乙双方根据《</w:t>
      </w:r>
      <w:r>
        <w:rPr>
          <w:rFonts w:hint="eastAsia" w:ascii="宋体" w:hAnsi="宋体"/>
          <w:color w:val="auto"/>
          <w:szCs w:val="21"/>
          <w:highlight w:val="none"/>
          <w:lang w:val="en-US" w:eastAsia="zh-CN"/>
        </w:rPr>
        <w:t>中华人民共和国</w:t>
      </w:r>
      <w:r>
        <w:rPr>
          <w:rFonts w:hint="eastAsia" w:ascii="宋体" w:hAnsi="宋体"/>
          <w:color w:val="auto"/>
          <w:szCs w:val="21"/>
          <w:highlight w:val="none"/>
        </w:rPr>
        <w:t>民法典》，在平等互利、协商一致的基础上，达成以下设备维保服务合同：</w:t>
      </w:r>
    </w:p>
    <w:p w14:paraId="0302556A">
      <w:pPr>
        <w:pStyle w:val="455"/>
        <w:spacing w:line="360" w:lineRule="auto"/>
        <w:ind w:firstLine="0" w:firstLineChars="0"/>
        <w:rPr>
          <w:rFonts w:hint="eastAsia" w:hAnsi="宋体" w:eastAsia="宋体"/>
          <w:color w:val="auto"/>
          <w:sz w:val="21"/>
          <w:szCs w:val="21"/>
          <w:highlight w:val="none"/>
          <w:lang w:eastAsia="zh-CN"/>
        </w:rPr>
      </w:pPr>
      <w:r>
        <w:rPr>
          <w:rFonts w:hint="eastAsia" w:hAnsi="宋体"/>
          <w:color w:val="auto"/>
          <w:sz w:val="21"/>
          <w:szCs w:val="21"/>
          <w:highlight w:val="none"/>
        </w:rPr>
        <w:t>一、合同期限</w:t>
      </w:r>
      <w:r>
        <w:rPr>
          <w:rFonts w:hint="eastAsia" w:hAnsi="宋体"/>
          <w:color w:val="auto"/>
          <w:sz w:val="21"/>
          <w:szCs w:val="21"/>
          <w:highlight w:val="none"/>
          <w:lang w:eastAsia="zh-CN"/>
        </w:rPr>
        <w:t>：</w:t>
      </w:r>
    </w:p>
    <w:p w14:paraId="3DFA0FFB">
      <w:pPr>
        <w:pStyle w:val="455"/>
        <w:spacing w:line="360" w:lineRule="auto"/>
        <w:ind w:left="420" w:firstLine="0" w:firstLineChars="0"/>
        <w:rPr>
          <w:rFonts w:hAnsi="宋体"/>
          <w:color w:val="auto"/>
          <w:sz w:val="21"/>
          <w:szCs w:val="21"/>
          <w:highlight w:val="none"/>
        </w:rPr>
      </w:pPr>
      <w:r>
        <w:rPr>
          <w:rFonts w:hint="eastAsia" w:hAnsi="宋体"/>
          <w:color w:val="auto"/>
          <w:sz w:val="21"/>
          <w:szCs w:val="21"/>
          <w:highlight w:val="none"/>
        </w:rPr>
        <w:t>保修期自</w:t>
      </w:r>
      <w:r>
        <w:rPr>
          <w:rFonts w:hint="eastAsia" w:hAnsi="宋体"/>
          <w:color w:val="auto"/>
          <w:sz w:val="21"/>
          <w:szCs w:val="21"/>
          <w:highlight w:val="none"/>
          <w:u w:val="single"/>
        </w:rPr>
        <w:t>X</w:t>
      </w:r>
      <w:r>
        <w:rPr>
          <w:rFonts w:hAnsi="宋体"/>
          <w:color w:val="auto"/>
          <w:sz w:val="21"/>
          <w:szCs w:val="21"/>
          <w:highlight w:val="none"/>
          <w:u w:val="single"/>
        </w:rPr>
        <w:t>XXX</w:t>
      </w:r>
      <w:r>
        <w:rPr>
          <w:rFonts w:hint="eastAsia" w:hAnsi="宋体"/>
          <w:color w:val="auto"/>
          <w:sz w:val="21"/>
          <w:szCs w:val="21"/>
          <w:highlight w:val="none"/>
          <w:u w:val="single"/>
        </w:rPr>
        <w:t>年X</w:t>
      </w:r>
      <w:r>
        <w:rPr>
          <w:rFonts w:hAnsi="宋体"/>
          <w:color w:val="auto"/>
          <w:sz w:val="21"/>
          <w:szCs w:val="21"/>
          <w:highlight w:val="none"/>
          <w:u w:val="single"/>
        </w:rPr>
        <w:t>XXX</w:t>
      </w:r>
      <w:r>
        <w:rPr>
          <w:rFonts w:hint="eastAsia" w:hAnsi="宋体"/>
          <w:color w:val="auto"/>
          <w:sz w:val="21"/>
          <w:szCs w:val="21"/>
          <w:highlight w:val="none"/>
          <w:u w:val="single"/>
        </w:rPr>
        <w:t>月X</w:t>
      </w:r>
      <w:r>
        <w:rPr>
          <w:rFonts w:hAnsi="宋体"/>
          <w:color w:val="auto"/>
          <w:sz w:val="21"/>
          <w:szCs w:val="21"/>
          <w:highlight w:val="none"/>
          <w:u w:val="single"/>
        </w:rPr>
        <w:t>XXX</w:t>
      </w:r>
      <w:r>
        <w:rPr>
          <w:rFonts w:hint="eastAsia" w:hAnsi="宋体"/>
          <w:color w:val="auto"/>
          <w:sz w:val="21"/>
          <w:szCs w:val="21"/>
          <w:highlight w:val="none"/>
          <w:u w:val="single"/>
        </w:rPr>
        <w:t>日</w:t>
      </w:r>
      <w:r>
        <w:rPr>
          <w:rFonts w:hint="eastAsia" w:hAnsi="宋体"/>
          <w:color w:val="auto"/>
          <w:sz w:val="21"/>
          <w:szCs w:val="21"/>
          <w:highlight w:val="none"/>
        </w:rPr>
        <w:t>至</w:t>
      </w:r>
      <w:r>
        <w:rPr>
          <w:rFonts w:hint="eastAsia" w:hAnsi="宋体"/>
          <w:color w:val="auto"/>
          <w:sz w:val="21"/>
          <w:szCs w:val="21"/>
          <w:highlight w:val="none"/>
          <w:u w:val="single"/>
        </w:rPr>
        <w:t>X</w:t>
      </w:r>
      <w:r>
        <w:rPr>
          <w:rFonts w:hAnsi="宋体"/>
          <w:color w:val="auto"/>
          <w:sz w:val="21"/>
          <w:szCs w:val="21"/>
          <w:highlight w:val="none"/>
          <w:u w:val="single"/>
        </w:rPr>
        <w:t>XXX</w:t>
      </w:r>
      <w:r>
        <w:rPr>
          <w:rFonts w:hint="eastAsia" w:hAnsi="宋体"/>
          <w:color w:val="auto"/>
          <w:sz w:val="21"/>
          <w:szCs w:val="21"/>
          <w:highlight w:val="none"/>
          <w:u w:val="single"/>
        </w:rPr>
        <w:t>年X</w:t>
      </w:r>
      <w:r>
        <w:rPr>
          <w:rFonts w:hAnsi="宋体"/>
          <w:color w:val="auto"/>
          <w:sz w:val="21"/>
          <w:szCs w:val="21"/>
          <w:highlight w:val="none"/>
          <w:u w:val="single"/>
        </w:rPr>
        <w:t>XXX</w:t>
      </w:r>
      <w:r>
        <w:rPr>
          <w:rFonts w:hint="eastAsia" w:hAnsi="宋体"/>
          <w:color w:val="auto"/>
          <w:sz w:val="21"/>
          <w:szCs w:val="21"/>
          <w:highlight w:val="none"/>
          <w:u w:val="single"/>
        </w:rPr>
        <w:t>月X</w:t>
      </w:r>
      <w:r>
        <w:rPr>
          <w:rFonts w:hAnsi="宋体"/>
          <w:color w:val="auto"/>
          <w:sz w:val="21"/>
          <w:szCs w:val="21"/>
          <w:highlight w:val="none"/>
          <w:u w:val="single"/>
        </w:rPr>
        <w:t>XXX</w:t>
      </w:r>
      <w:r>
        <w:rPr>
          <w:rFonts w:hint="eastAsia" w:hAnsi="宋体"/>
          <w:color w:val="auto"/>
          <w:sz w:val="21"/>
          <w:szCs w:val="21"/>
          <w:highlight w:val="none"/>
          <w:u w:val="single"/>
        </w:rPr>
        <w:t>日</w:t>
      </w:r>
      <w:r>
        <w:rPr>
          <w:rFonts w:hint="eastAsia" w:hAnsi="宋体"/>
          <w:color w:val="auto"/>
          <w:sz w:val="21"/>
          <w:szCs w:val="21"/>
          <w:highlight w:val="none"/>
        </w:rPr>
        <w:t>。</w:t>
      </w:r>
    </w:p>
    <w:p w14:paraId="24E0B1B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若由于该设备停止使用的原因，甲方需要解除该合同，甲方可提前3</w:t>
      </w:r>
      <w:r>
        <w:rPr>
          <w:rFonts w:ascii="宋体" w:hAnsi="宋体"/>
          <w:color w:val="auto"/>
          <w:szCs w:val="21"/>
          <w:highlight w:val="none"/>
        </w:rPr>
        <w:t>0</w:t>
      </w:r>
      <w:r>
        <w:rPr>
          <w:rFonts w:hint="eastAsia" w:ascii="宋体" w:hAnsi="宋体"/>
          <w:color w:val="auto"/>
          <w:szCs w:val="21"/>
          <w:highlight w:val="none"/>
        </w:rPr>
        <w:t>日以书面形式通知乙方，确认设备停用时间，在合同有效期内提前解除合同，费用结算至确认的设备停用时间，当期合同价款按天计算。</w:t>
      </w:r>
    </w:p>
    <w:p w14:paraId="4EF5979F">
      <w:pPr>
        <w:spacing w:line="360" w:lineRule="auto"/>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如乙方在维保服务期间和医院合作良好，经双方协商该合同可续保壹年，最长不超过叁年。</w:t>
      </w:r>
    </w:p>
    <w:p w14:paraId="14CBA4DB">
      <w:pPr>
        <w:spacing w:line="360" w:lineRule="auto"/>
        <w:rPr>
          <w:rFonts w:hint="eastAsia" w:hAnsi="宋体"/>
          <w:color w:val="auto"/>
          <w:highlight w:val="none"/>
        </w:rPr>
      </w:pPr>
      <w:r>
        <w:rPr>
          <w:rFonts w:hint="eastAsia" w:hAnsi="宋体"/>
          <w:color w:val="auto"/>
          <w:highlight w:val="none"/>
        </w:rPr>
        <w:t>二、维保服务设备：</w:t>
      </w:r>
    </w:p>
    <w:tbl>
      <w:tblPr>
        <w:tblStyle w:val="34"/>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1984"/>
        <w:gridCol w:w="992"/>
        <w:gridCol w:w="993"/>
        <w:gridCol w:w="1701"/>
        <w:gridCol w:w="1134"/>
        <w:gridCol w:w="1842"/>
      </w:tblGrid>
      <w:tr w14:paraId="3F95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7" w:type="dxa"/>
            <w:noWrap w:val="0"/>
            <w:vAlign w:val="center"/>
          </w:tcPr>
          <w:p w14:paraId="63CF7C31">
            <w:pPr>
              <w:spacing w:line="360" w:lineRule="auto"/>
              <w:jc w:val="center"/>
              <w:rPr>
                <w:b/>
                <w:color w:val="auto"/>
                <w:szCs w:val="21"/>
                <w:highlight w:val="none"/>
              </w:rPr>
            </w:pPr>
            <w:r>
              <w:rPr>
                <w:rFonts w:hint="eastAsia"/>
                <w:b/>
                <w:color w:val="auto"/>
                <w:szCs w:val="21"/>
                <w:highlight w:val="none"/>
              </w:rPr>
              <w:t>设备名称</w:t>
            </w:r>
          </w:p>
        </w:tc>
        <w:tc>
          <w:tcPr>
            <w:tcW w:w="1984" w:type="dxa"/>
            <w:noWrap w:val="0"/>
            <w:vAlign w:val="center"/>
          </w:tcPr>
          <w:p w14:paraId="403C2160">
            <w:pPr>
              <w:spacing w:line="360" w:lineRule="auto"/>
              <w:jc w:val="center"/>
              <w:rPr>
                <w:rFonts w:hint="eastAsia"/>
                <w:b/>
                <w:color w:val="auto"/>
                <w:szCs w:val="21"/>
                <w:highlight w:val="none"/>
              </w:rPr>
            </w:pPr>
            <w:r>
              <w:rPr>
                <w:rFonts w:hint="eastAsia"/>
                <w:b/>
                <w:color w:val="auto"/>
                <w:szCs w:val="21"/>
                <w:highlight w:val="none"/>
              </w:rPr>
              <w:t>品牌、规格</w:t>
            </w:r>
          </w:p>
          <w:p w14:paraId="1FA98912">
            <w:pPr>
              <w:spacing w:line="360" w:lineRule="auto"/>
              <w:jc w:val="center"/>
              <w:rPr>
                <w:b/>
                <w:color w:val="auto"/>
                <w:szCs w:val="21"/>
                <w:highlight w:val="none"/>
              </w:rPr>
            </w:pPr>
            <w:r>
              <w:rPr>
                <w:rFonts w:hint="eastAsia"/>
                <w:b/>
                <w:color w:val="auto"/>
                <w:szCs w:val="21"/>
                <w:highlight w:val="none"/>
              </w:rPr>
              <w:t>型号</w:t>
            </w:r>
          </w:p>
        </w:tc>
        <w:tc>
          <w:tcPr>
            <w:tcW w:w="992" w:type="dxa"/>
            <w:noWrap w:val="0"/>
            <w:vAlign w:val="center"/>
          </w:tcPr>
          <w:p w14:paraId="3E13AF79">
            <w:pPr>
              <w:spacing w:line="360" w:lineRule="auto"/>
              <w:jc w:val="center"/>
              <w:rPr>
                <w:b/>
                <w:color w:val="auto"/>
                <w:szCs w:val="21"/>
                <w:highlight w:val="none"/>
              </w:rPr>
            </w:pPr>
            <w:r>
              <w:rPr>
                <w:rFonts w:hint="eastAsia"/>
                <w:b/>
                <w:color w:val="auto"/>
                <w:szCs w:val="21"/>
                <w:highlight w:val="none"/>
                <w:lang w:val="en-US" w:eastAsia="zh-CN"/>
              </w:rPr>
              <w:t>序列号</w:t>
            </w:r>
          </w:p>
        </w:tc>
        <w:tc>
          <w:tcPr>
            <w:tcW w:w="993" w:type="dxa"/>
            <w:noWrap w:val="0"/>
            <w:vAlign w:val="center"/>
          </w:tcPr>
          <w:p w14:paraId="529B2BCF">
            <w:pPr>
              <w:spacing w:line="360" w:lineRule="auto"/>
              <w:jc w:val="center"/>
              <w:rPr>
                <w:b/>
                <w:color w:val="auto"/>
                <w:szCs w:val="21"/>
                <w:highlight w:val="none"/>
              </w:rPr>
            </w:pPr>
            <w:r>
              <w:rPr>
                <w:rFonts w:hint="eastAsia"/>
                <w:b/>
                <w:color w:val="auto"/>
                <w:szCs w:val="21"/>
                <w:highlight w:val="none"/>
              </w:rPr>
              <w:t>数量</w:t>
            </w:r>
          </w:p>
        </w:tc>
        <w:tc>
          <w:tcPr>
            <w:tcW w:w="1701" w:type="dxa"/>
            <w:noWrap w:val="0"/>
            <w:vAlign w:val="center"/>
          </w:tcPr>
          <w:p w14:paraId="42CD732E">
            <w:pPr>
              <w:spacing w:line="360" w:lineRule="auto"/>
              <w:jc w:val="center"/>
              <w:rPr>
                <w:b/>
                <w:color w:val="auto"/>
                <w:szCs w:val="21"/>
                <w:highlight w:val="none"/>
              </w:rPr>
            </w:pPr>
            <w:r>
              <w:rPr>
                <w:rFonts w:hint="eastAsia"/>
                <w:b/>
                <w:color w:val="auto"/>
                <w:szCs w:val="21"/>
                <w:highlight w:val="none"/>
              </w:rPr>
              <w:t>单位</w:t>
            </w:r>
          </w:p>
        </w:tc>
        <w:tc>
          <w:tcPr>
            <w:tcW w:w="1134" w:type="dxa"/>
            <w:noWrap w:val="0"/>
            <w:vAlign w:val="center"/>
          </w:tcPr>
          <w:p w14:paraId="7F2FD446">
            <w:pPr>
              <w:spacing w:line="360" w:lineRule="auto"/>
              <w:jc w:val="center"/>
              <w:rPr>
                <w:b/>
                <w:color w:val="auto"/>
                <w:szCs w:val="21"/>
                <w:highlight w:val="none"/>
              </w:rPr>
            </w:pPr>
            <w:r>
              <w:rPr>
                <w:rFonts w:hint="eastAsia"/>
                <w:b/>
                <w:color w:val="auto"/>
                <w:szCs w:val="21"/>
                <w:highlight w:val="none"/>
              </w:rPr>
              <w:t>维保单价（元</w:t>
            </w:r>
            <w:r>
              <w:rPr>
                <w:rFonts w:hint="eastAsia"/>
                <w:color w:val="auto"/>
                <w:szCs w:val="21"/>
                <w:highlight w:val="none"/>
              </w:rPr>
              <w:t>）</w:t>
            </w:r>
          </w:p>
        </w:tc>
        <w:tc>
          <w:tcPr>
            <w:tcW w:w="1842" w:type="dxa"/>
            <w:noWrap w:val="0"/>
            <w:vAlign w:val="center"/>
          </w:tcPr>
          <w:p w14:paraId="6CE32F5B">
            <w:pPr>
              <w:spacing w:line="360" w:lineRule="auto"/>
              <w:jc w:val="center"/>
              <w:rPr>
                <w:rFonts w:hint="eastAsia"/>
                <w:b/>
                <w:color w:val="auto"/>
                <w:szCs w:val="21"/>
                <w:highlight w:val="none"/>
              </w:rPr>
            </w:pPr>
            <w:r>
              <w:rPr>
                <w:rFonts w:hint="eastAsia"/>
                <w:b/>
                <w:color w:val="auto"/>
                <w:szCs w:val="21"/>
                <w:highlight w:val="none"/>
              </w:rPr>
              <w:t>维保年限</w:t>
            </w:r>
          </w:p>
        </w:tc>
      </w:tr>
      <w:tr w14:paraId="424B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77" w:type="dxa"/>
            <w:noWrap w:val="0"/>
            <w:vAlign w:val="top"/>
          </w:tcPr>
          <w:p w14:paraId="3944DAFF">
            <w:pPr>
              <w:spacing w:line="360" w:lineRule="auto"/>
              <w:jc w:val="center"/>
              <w:rPr>
                <w:color w:val="auto"/>
                <w:szCs w:val="21"/>
                <w:highlight w:val="none"/>
              </w:rPr>
            </w:pPr>
          </w:p>
        </w:tc>
        <w:tc>
          <w:tcPr>
            <w:tcW w:w="1984" w:type="dxa"/>
            <w:noWrap w:val="0"/>
            <w:vAlign w:val="top"/>
          </w:tcPr>
          <w:p w14:paraId="403FC1D3">
            <w:pPr>
              <w:spacing w:line="360" w:lineRule="auto"/>
              <w:jc w:val="center"/>
              <w:rPr>
                <w:color w:val="auto"/>
                <w:szCs w:val="21"/>
                <w:highlight w:val="none"/>
              </w:rPr>
            </w:pPr>
          </w:p>
        </w:tc>
        <w:tc>
          <w:tcPr>
            <w:tcW w:w="992" w:type="dxa"/>
            <w:noWrap w:val="0"/>
            <w:vAlign w:val="top"/>
          </w:tcPr>
          <w:p w14:paraId="4B20E9CB">
            <w:pPr>
              <w:spacing w:line="360" w:lineRule="auto"/>
              <w:jc w:val="both"/>
              <w:rPr>
                <w:rFonts w:hint="eastAsia"/>
                <w:color w:val="auto"/>
                <w:szCs w:val="21"/>
                <w:highlight w:val="none"/>
              </w:rPr>
            </w:pPr>
          </w:p>
        </w:tc>
        <w:tc>
          <w:tcPr>
            <w:tcW w:w="993" w:type="dxa"/>
            <w:noWrap w:val="0"/>
            <w:vAlign w:val="top"/>
          </w:tcPr>
          <w:p w14:paraId="372B6AA4">
            <w:pPr>
              <w:spacing w:line="360" w:lineRule="auto"/>
              <w:ind w:firstLine="210" w:firstLineChars="100"/>
              <w:jc w:val="center"/>
              <w:rPr>
                <w:rFonts w:hint="eastAsia"/>
                <w:color w:val="auto"/>
                <w:szCs w:val="21"/>
                <w:highlight w:val="none"/>
              </w:rPr>
            </w:pPr>
          </w:p>
        </w:tc>
        <w:tc>
          <w:tcPr>
            <w:tcW w:w="1701" w:type="dxa"/>
            <w:noWrap w:val="0"/>
            <w:vAlign w:val="top"/>
          </w:tcPr>
          <w:p w14:paraId="31791FAA">
            <w:pPr>
              <w:spacing w:line="360" w:lineRule="auto"/>
              <w:jc w:val="center"/>
              <w:rPr>
                <w:color w:val="auto"/>
                <w:szCs w:val="21"/>
                <w:highlight w:val="none"/>
              </w:rPr>
            </w:pPr>
          </w:p>
        </w:tc>
        <w:tc>
          <w:tcPr>
            <w:tcW w:w="1134" w:type="dxa"/>
            <w:noWrap w:val="0"/>
            <w:vAlign w:val="top"/>
          </w:tcPr>
          <w:p w14:paraId="5B4809FF">
            <w:pPr>
              <w:spacing w:line="360" w:lineRule="auto"/>
              <w:jc w:val="center"/>
              <w:rPr>
                <w:rFonts w:hint="eastAsia"/>
                <w:color w:val="auto"/>
                <w:szCs w:val="21"/>
                <w:highlight w:val="none"/>
              </w:rPr>
            </w:pPr>
          </w:p>
        </w:tc>
        <w:tc>
          <w:tcPr>
            <w:tcW w:w="1842" w:type="dxa"/>
            <w:noWrap w:val="0"/>
            <w:vAlign w:val="top"/>
          </w:tcPr>
          <w:p w14:paraId="2500A8B9">
            <w:pPr>
              <w:spacing w:line="360" w:lineRule="auto"/>
              <w:jc w:val="center"/>
              <w:rPr>
                <w:color w:val="auto"/>
                <w:szCs w:val="21"/>
                <w:highlight w:val="none"/>
              </w:rPr>
            </w:pPr>
          </w:p>
        </w:tc>
      </w:tr>
      <w:tr w14:paraId="127B8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923" w:type="dxa"/>
            <w:gridSpan w:val="7"/>
            <w:noWrap w:val="0"/>
            <w:vAlign w:val="center"/>
          </w:tcPr>
          <w:p w14:paraId="4D59185D">
            <w:pPr>
              <w:spacing w:line="360" w:lineRule="auto"/>
              <w:ind w:firstLine="422"/>
              <w:rPr>
                <w:b/>
                <w:color w:val="auto"/>
                <w:szCs w:val="21"/>
                <w:highlight w:val="none"/>
              </w:rPr>
            </w:pPr>
            <w:r>
              <w:rPr>
                <w:rFonts w:hint="eastAsia"/>
                <w:b/>
                <w:color w:val="auto"/>
                <w:szCs w:val="21"/>
                <w:highlight w:val="none"/>
              </w:rPr>
              <w:t>合计（大写）：（人民币）</w:t>
            </w:r>
            <w:r>
              <w:rPr>
                <w:b/>
                <w:color w:val="auto"/>
                <w:szCs w:val="21"/>
                <w:highlight w:val="none"/>
              </w:rPr>
              <w:t xml:space="preserve">              </w:t>
            </w:r>
            <w:r>
              <w:rPr>
                <w:rFonts w:hint="eastAsia"/>
                <w:b/>
                <w:color w:val="auto"/>
                <w:szCs w:val="21"/>
                <w:highlight w:val="none"/>
              </w:rPr>
              <w:t>小写：￥</w:t>
            </w:r>
            <w:r>
              <w:rPr>
                <w:rFonts w:hint="eastAsia"/>
                <w:b/>
                <w:color w:val="auto"/>
                <w:szCs w:val="21"/>
                <w:highlight w:val="none"/>
                <w:lang w:val="en-US" w:eastAsia="zh-CN"/>
              </w:rPr>
              <w:t xml:space="preserve">              </w:t>
            </w:r>
            <w:r>
              <w:rPr>
                <w:rFonts w:hint="eastAsia"/>
                <w:b/>
                <w:color w:val="auto"/>
                <w:szCs w:val="21"/>
                <w:highlight w:val="none"/>
              </w:rPr>
              <w:t>元</w:t>
            </w:r>
          </w:p>
          <w:p w14:paraId="67D53F42">
            <w:pPr>
              <w:spacing w:line="360" w:lineRule="auto"/>
              <w:ind w:firstLine="422" w:firstLineChars="0"/>
              <w:rPr>
                <w:b/>
                <w:color w:val="auto"/>
                <w:szCs w:val="21"/>
                <w:highlight w:val="none"/>
              </w:rPr>
            </w:pPr>
            <w:r>
              <w:rPr>
                <w:rFonts w:hint="eastAsia"/>
                <w:b/>
                <w:color w:val="auto"/>
                <w:szCs w:val="21"/>
                <w:highlight w:val="none"/>
              </w:rPr>
              <w:t xml:space="preserve">本价格包含运输、包装、安装、人工以及税费等全部费用，甲方无须支付其他任何费用。 </w:t>
            </w:r>
          </w:p>
        </w:tc>
      </w:tr>
      <w:tr w14:paraId="5EC9D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7" w:type="dxa"/>
            <w:noWrap w:val="0"/>
            <w:vAlign w:val="center"/>
          </w:tcPr>
          <w:p w14:paraId="31A03117">
            <w:pPr>
              <w:spacing w:line="360" w:lineRule="auto"/>
              <w:jc w:val="center"/>
              <w:rPr>
                <w:rFonts w:hint="eastAsia"/>
                <w:b/>
                <w:color w:val="auto"/>
                <w:szCs w:val="21"/>
                <w:highlight w:val="none"/>
              </w:rPr>
            </w:pPr>
            <w:r>
              <w:rPr>
                <w:rFonts w:hint="eastAsia"/>
                <w:b/>
                <w:color w:val="auto"/>
                <w:szCs w:val="21"/>
                <w:highlight w:val="none"/>
              </w:rPr>
              <w:t>使用科室</w:t>
            </w:r>
          </w:p>
        </w:tc>
        <w:tc>
          <w:tcPr>
            <w:tcW w:w="8646" w:type="dxa"/>
            <w:gridSpan w:val="6"/>
            <w:noWrap w:val="0"/>
            <w:vAlign w:val="center"/>
          </w:tcPr>
          <w:p w14:paraId="371E00F8">
            <w:pPr>
              <w:spacing w:line="360" w:lineRule="auto"/>
              <w:rPr>
                <w:rFonts w:hint="eastAsia"/>
                <w:b/>
                <w:color w:val="auto"/>
                <w:szCs w:val="21"/>
                <w:highlight w:val="none"/>
              </w:rPr>
            </w:pPr>
          </w:p>
        </w:tc>
      </w:tr>
    </w:tbl>
    <w:p w14:paraId="632DF1BB">
      <w:pPr>
        <w:spacing w:line="360" w:lineRule="auto"/>
        <w:rPr>
          <w:rFonts w:hAnsi="宋体"/>
          <w:color w:val="auto"/>
          <w:highlight w:val="none"/>
        </w:rPr>
      </w:pPr>
      <w:r>
        <w:rPr>
          <w:rFonts w:hint="eastAsia" w:hAnsi="宋体"/>
          <w:color w:val="auto"/>
          <w:highlight w:val="none"/>
        </w:rPr>
        <w:t>三、付款方式</w:t>
      </w:r>
    </w:p>
    <w:p w14:paraId="7447F762">
      <w:pPr>
        <w:spacing w:line="360" w:lineRule="auto"/>
        <w:ind w:firstLine="420" w:firstLineChars="200"/>
        <w:rPr>
          <w:rFonts w:hAnsi="宋体"/>
          <w:color w:val="auto"/>
          <w:highlight w:val="none"/>
        </w:rPr>
      </w:pPr>
      <w:bookmarkStart w:id="88" w:name="_Hlk184061930"/>
      <w:r>
        <w:rPr>
          <w:rFonts w:hint="eastAsia"/>
          <w:color w:val="auto"/>
          <w:szCs w:val="21"/>
          <w:highlight w:val="none"/>
        </w:rPr>
        <w:t>1、</w:t>
      </w:r>
      <w:r>
        <w:rPr>
          <w:rFonts w:hint="eastAsia" w:hAnsi="宋体"/>
          <w:color w:val="auto"/>
          <w:highlight w:val="none"/>
          <w:lang w:val="en-US" w:eastAsia="zh-CN"/>
        </w:rPr>
        <w:t>甲方对乙方实行年度考核，每年度得分在90分及以上全额支付当期保修款，具体考核方案见《医疗设备保修服务考核表》，达到考核要求，</w:t>
      </w:r>
      <w:r>
        <w:rPr>
          <w:rFonts w:hint="eastAsia" w:hAnsi="宋体"/>
          <w:color w:val="auto"/>
          <w:highlight w:val="none"/>
        </w:rPr>
        <w:t>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p>
    <w:bookmarkEnd w:id="88"/>
    <w:p w14:paraId="3D708196">
      <w:pPr>
        <w:spacing w:line="360" w:lineRule="auto"/>
        <w:ind w:firstLine="420" w:firstLineChars="200"/>
        <w:rPr>
          <w:rFonts w:hAnsi="宋体"/>
          <w:color w:val="auto"/>
          <w:highlight w:val="none"/>
        </w:rPr>
      </w:pPr>
      <w:r>
        <w:rPr>
          <w:rFonts w:hint="eastAsia" w:hAnsi="宋体"/>
          <w:color w:val="auto"/>
          <w:highlight w:val="none"/>
        </w:rPr>
        <w:t>2、付款时间表：</w:t>
      </w:r>
    </w:p>
    <w:p w14:paraId="6F8DC44C">
      <w:pPr>
        <w:pStyle w:val="33"/>
        <w:ind w:firstLineChars="200"/>
        <w:rPr>
          <w:rFonts w:hint="eastAsia"/>
          <w:color w:val="auto"/>
          <w:highlight w:val="none"/>
        </w:rPr>
      </w:pPr>
      <w:r>
        <w:rPr>
          <w:rFonts w:hint="eastAsia" w:hAnsi="宋体"/>
          <w:color w:val="auto"/>
          <w:highlight w:val="none"/>
        </w:rPr>
        <w:t>合同为固定单价合同，合同价款不因国家税率变更而更改。</w:t>
      </w:r>
    </w:p>
    <w:p w14:paraId="5ABB3296">
      <w:pPr>
        <w:widowControl/>
        <w:adjustRightInd w:val="0"/>
        <w:snapToGrid w:val="0"/>
        <w:spacing w:line="360" w:lineRule="auto"/>
        <w:ind w:firstLine="420" w:firstLineChars="200"/>
        <w:jc w:val="left"/>
        <w:rPr>
          <w:color w:val="auto"/>
          <w:szCs w:val="21"/>
          <w:highlight w:val="none"/>
          <w:u w:val="single"/>
        </w:rPr>
      </w:pPr>
      <w:r>
        <w:rPr>
          <w:rFonts w:hint="eastAsia"/>
          <w:color w:val="auto"/>
          <w:szCs w:val="21"/>
          <w:highlight w:val="none"/>
        </w:rPr>
        <w:t>合同总价</w:t>
      </w:r>
      <w:bookmarkStart w:id="89" w:name="_Hlk184062102"/>
      <w:r>
        <w:rPr>
          <w:rFonts w:hint="eastAsia"/>
          <w:color w:val="auto"/>
          <w:szCs w:val="21"/>
          <w:highlight w:val="none"/>
        </w:rPr>
        <w:t>（人民币）</w:t>
      </w:r>
      <w:r>
        <w:rPr>
          <w:color w:val="auto"/>
          <w:szCs w:val="21"/>
          <w:highlight w:val="none"/>
          <w:u w:val="single"/>
        </w:rPr>
        <w:t xml:space="preserve">            </w:t>
      </w:r>
      <w:r>
        <w:rPr>
          <w:rFonts w:hint="eastAsia"/>
          <w:color w:val="auto"/>
          <w:szCs w:val="21"/>
          <w:highlight w:val="none"/>
          <w:u w:val="single"/>
        </w:rPr>
        <w:t xml:space="preserve">（大写：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元整）</w:t>
      </w:r>
    </w:p>
    <w:bookmarkEnd w:id="89"/>
    <w:p w14:paraId="4D68EC36">
      <w:pPr>
        <w:pStyle w:val="33"/>
        <w:ind w:firstLineChars="200"/>
        <w:rPr>
          <w:color w:val="auto"/>
          <w:highlight w:val="none"/>
        </w:rPr>
      </w:pPr>
      <w:r>
        <w:rPr>
          <w:rFonts w:hint="eastAsia"/>
          <w:color w:val="auto"/>
          <w:highlight w:val="none"/>
        </w:rPr>
        <w:t>第壹</w:t>
      </w:r>
      <w:bookmarkStart w:id="90" w:name="_Hlk184059117"/>
      <w:r>
        <w:rPr>
          <w:rFonts w:hint="eastAsia"/>
          <w:color w:val="auto"/>
          <w:highlight w:val="none"/>
        </w:rPr>
        <w:t>期</w:t>
      </w:r>
      <w:bookmarkEnd w:id="90"/>
      <w:r>
        <w:rPr>
          <w:rFonts w:hint="eastAsia"/>
          <w:color w:val="auto"/>
          <w:highlight w:val="none"/>
        </w:rPr>
        <w:t>付款时间节点：2</w:t>
      </w:r>
      <w:r>
        <w:rPr>
          <w:color w:val="auto"/>
          <w:highlight w:val="none"/>
        </w:rPr>
        <w:t xml:space="preserve">02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日付清人民币</w:t>
      </w:r>
      <w:r>
        <w:rPr>
          <w:color w:val="auto"/>
          <w:highlight w:val="none"/>
        </w:rPr>
        <w:t xml:space="preserve">          </w:t>
      </w:r>
      <w:r>
        <w:rPr>
          <w:rFonts w:hint="eastAsia"/>
          <w:color w:val="auto"/>
          <w:highlight w:val="none"/>
        </w:rPr>
        <w:t xml:space="preserve">元（ </w:t>
      </w:r>
      <w:r>
        <w:rPr>
          <w:color w:val="auto"/>
          <w:highlight w:val="none"/>
        </w:rPr>
        <w:t xml:space="preserve">  </w:t>
      </w:r>
      <w:r>
        <w:rPr>
          <w:rFonts w:hint="eastAsia"/>
          <w:color w:val="auto"/>
          <w:highlight w:val="none"/>
        </w:rPr>
        <w:t>元整）</w:t>
      </w:r>
    </w:p>
    <w:p w14:paraId="4FE3999D">
      <w:pPr>
        <w:pStyle w:val="33"/>
        <w:ind w:firstLineChars="200"/>
        <w:rPr>
          <w:color w:val="auto"/>
          <w:highlight w:val="none"/>
        </w:rPr>
      </w:pPr>
      <w:r>
        <w:rPr>
          <w:rFonts w:hint="eastAsia"/>
          <w:color w:val="auto"/>
          <w:highlight w:val="none"/>
        </w:rPr>
        <w:t>第贰期付款时间节点：2</w:t>
      </w:r>
      <w:r>
        <w:rPr>
          <w:color w:val="auto"/>
          <w:highlight w:val="none"/>
        </w:rPr>
        <w:t xml:space="preserve">02   </w:t>
      </w:r>
      <w:r>
        <w:rPr>
          <w:rFonts w:hint="eastAsia"/>
          <w:color w:val="auto"/>
          <w:highlight w:val="none"/>
        </w:rPr>
        <w:t>年</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日付清人民币</w:t>
      </w:r>
      <w:r>
        <w:rPr>
          <w:color w:val="auto"/>
          <w:highlight w:val="none"/>
        </w:rPr>
        <w:t xml:space="preserve">          </w:t>
      </w:r>
      <w:r>
        <w:rPr>
          <w:rFonts w:hint="eastAsia"/>
          <w:color w:val="auto"/>
          <w:highlight w:val="none"/>
        </w:rPr>
        <w:t xml:space="preserve">元（ </w:t>
      </w:r>
      <w:r>
        <w:rPr>
          <w:color w:val="auto"/>
          <w:highlight w:val="none"/>
        </w:rPr>
        <w:t xml:space="preserve">  </w:t>
      </w:r>
      <w:r>
        <w:rPr>
          <w:rFonts w:hint="eastAsia"/>
          <w:color w:val="auto"/>
          <w:highlight w:val="none"/>
        </w:rPr>
        <w:t>元整）</w:t>
      </w:r>
    </w:p>
    <w:p w14:paraId="335063E4">
      <w:pPr>
        <w:pStyle w:val="33"/>
        <w:ind w:firstLineChars="200"/>
        <w:rPr>
          <w:color w:val="auto"/>
          <w:highlight w:val="none"/>
        </w:rPr>
      </w:pPr>
      <w:r>
        <w:rPr>
          <w:rFonts w:hint="eastAsia"/>
          <w:color w:val="auto"/>
          <w:highlight w:val="none"/>
        </w:rPr>
        <w:t>第叁期付款时间节点：2</w:t>
      </w:r>
      <w:r>
        <w:rPr>
          <w:color w:val="auto"/>
          <w:highlight w:val="none"/>
        </w:rPr>
        <w:t xml:space="preserve">02   </w:t>
      </w:r>
      <w:r>
        <w:rPr>
          <w:rFonts w:hint="eastAsia"/>
          <w:color w:val="auto"/>
          <w:highlight w:val="none"/>
        </w:rPr>
        <w:t xml:space="preserve">年 </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日付清人民币</w:t>
      </w:r>
      <w:r>
        <w:rPr>
          <w:color w:val="auto"/>
          <w:highlight w:val="none"/>
        </w:rPr>
        <w:t xml:space="preserve">          </w:t>
      </w:r>
      <w:r>
        <w:rPr>
          <w:rFonts w:hint="eastAsia"/>
          <w:color w:val="auto"/>
          <w:highlight w:val="none"/>
        </w:rPr>
        <w:t xml:space="preserve">元（ </w:t>
      </w:r>
      <w:r>
        <w:rPr>
          <w:color w:val="auto"/>
          <w:highlight w:val="none"/>
        </w:rPr>
        <w:t xml:space="preserve">  </w:t>
      </w:r>
      <w:r>
        <w:rPr>
          <w:rFonts w:hint="eastAsia"/>
          <w:color w:val="auto"/>
          <w:highlight w:val="none"/>
        </w:rPr>
        <w:t>元整）</w:t>
      </w:r>
    </w:p>
    <w:p w14:paraId="301C7810">
      <w:pPr>
        <w:pStyle w:val="33"/>
        <w:ind w:firstLineChars="200"/>
        <w:rPr>
          <w:rFonts w:hint="default" w:eastAsia="宋体"/>
          <w:color w:val="auto"/>
          <w:highlight w:val="none"/>
          <w:lang w:val="en-US" w:eastAsia="zh-CN"/>
        </w:rPr>
      </w:pPr>
      <w:bookmarkStart w:id="91" w:name="_Hlk184062969"/>
      <w:r>
        <w:rPr>
          <w:rFonts w:hint="eastAsia"/>
          <w:color w:val="auto"/>
          <w:highlight w:val="none"/>
          <w:lang w:val="en-US" w:eastAsia="zh-CN"/>
        </w:rPr>
        <w:t>乙方户名：</w:t>
      </w:r>
      <w:r>
        <w:rPr>
          <w:rFonts w:hint="eastAsia"/>
          <w:color w:val="auto"/>
          <w:highlight w:val="none"/>
          <w:u w:val="single"/>
        </w:rPr>
        <w:t xml:space="preserve"> </w:t>
      </w:r>
      <w:r>
        <w:rPr>
          <w:color w:val="auto"/>
          <w:highlight w:val="none"/>
          <w:u w:val="single"/>
        </w:rPr>
        <w:t xml:space="preserve">                                  </w:t>
      </w:r>
    </w:p>
    <w:p w14:paraId="47203824">
      <w:pPr>
        <w:pStyle w:val="33"/>
        <w:ind w:firstLineChars="200"/>
        <w:rPr>
          <w:color w:val="auto"/>
          <w:highlight w:val="none"/>
        </w:rPr>
      </w:pPr>
      <w:r>
        <w:rPr>
          <w:rFonts w:hint="eastAsia"/>
          <w:color w:val="auto"/>
          <w:highlight w:val="none"/>
        </w:rPr>
        <w:t>乙方</w:t>
      </w:r>
      <w:r>
        <w:rPr>
          <w:rFonts w:hint="eastAsia"/>
          <w:color w:val="auto"/>
          <w:highlight w:val="none"/>
          <w:lang w:val="en-US" w:eastAsia="zh-CN"/>
        </w:rPr>
        <w:t>开户行</w:t>
      </w:r>
      <w:r>
        <w:rPr>
          <w:rFonts w:hint="eastAsia"/>
          <w:color w:val="auto"/>
          <w:highlight w:val="none"/>
        </w:rPr>
        <w:t>：</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p>
    <w:p w14:paraId="7F594C2C">
      <w:pPr>
        <w:pStyle w:val="33"/>
        <w:ind w:firstLineChars="200"/>
        <w:rPr>
          <w:rFonts w:hint="eastAsia"/>
          <w:color w:val="auto"/>
          <w:highlight w:val="none"/>
        </w:rPr>
      </w:pPr>
      <w:r>
        <w:rPr>
          <w:rFonts w:hint="eastAsia"/>
          <w:color w:val="auto"/>
          <w:highlight w:val="none"/>
        </w:rPr>
        <w:t>乙方账号：</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bookmarkEnd w:id="91"/>
      <w:r>
        <w:rPr>
          <w:color w:val="auto"/>
          <w:highlight w:val="none"/>
        </w:rPr>
        <w:t xml:space="preserve"> </w:t>
      </w:r>
    </w:p>
    <w:p w14:paraId="2DA2FCA3">
      <w:pPr>
        <w:spacing w:line="360" w:lineRule="auto"/>
        <w:rPr>
          <w:rFonts w:hAnsi="宋体"/>
          <w:color w:val="auto"/>
          <w:highlight w:val="none"/>
        </w:rPr>
      </w:pPr>
      <w:bookmarkStart w:id="92" w:name="_Hlk184061519"/>
      <w:r>
        <w:rPr>
          <w:rFonts w:hint="eastAsia" w:hAnsi="宋体"/>
          <w:color w:val="auto"/>
          <w:highlight w:val="none"/>
        </w:rPr>
        <w:t>四、甲方权利义务</w:t>
      </w:r>
    </w:p>
    <w:p w14:paraId="2EC64517">
      <w:pPr>
        <w:spacing w:line="360" w:lineRule="auto"/>
        <w:ind w:firstLine="420" w:firstLineChars="200"/>
        <w:rPr>
          <w:rFonts w:hAnsi="宋体"/>
          <w:color w:val="auto"/>
          <w:highlight w:val="none"/>
        </w:rPr>
      </w:pPr>
      <w:r>
        <w:rPr>
          <w:rFonts w:hint="eastAsia"/>
          <w:color w:val="auto"/>
          <w:szCs w:val="21"/>
          <w:highlight w:val="none"/>
        </w:rPr>
        <w:t>1、</w:t>
      </w:r>
      <w:r>
        <w:rPr>
          <w:rFonts w:hint="eastAsia" w:hAnsi="宋体"/>
          <w:color w:val="auto"/>
          <w:highlight w:val="none"/>
        </w:rPr>
        <w:t>甲方应保证电源质量稳定可靠，并对设备进行日常清洁保养和基本维护工作，做好故障记录。</w:t>
      </w:r>
    </w:p>
    <w:p w14:paraId="636EE2BC">
      <w:pPr>
        <w:spacing w:line="360" w:lineRule="auto"/>
        <w:ind w:firstLine="420" w:firstLineChars="200"/>
        <w:rPr>
          <w:rFonts w:hAnsi="宋体"/>
          <w:color w:val="auto"/>
          <w:highlight w:val="none"/>
        </w:rPr>
      </w:pPr>
      <w:r>
        <w:rPr>
          <w:rFonts w:hint="eastAsia" w:hAnsi="宋体"/>
          <w:color w:val="auto"/>
          <w:highlight w:val="none"/>
        </w:rPr>
        <w:t>2、甲方应按设备使用手册的要求正确操作设备，保证设备的电、气和水的正常供应，同时保证设备开启关闭时的环境处于正常状态。</w:t>
      </w:r>
    </w:p>
    <w:p w14:paraId="139BD136">
      <w:pPr>
        <w:spacing w:line="360" w:lineRule="auto"/>
        <w:ind w:firstLine="420" w:firstLineChars="200"/>
        <w:rPr>
          <w:rFonts w:hAnsi="宋体"/>
          <w:color w:val="auto"/>
          <w:highlight w:val="none"/>
        </w:rPr>
      </w:pPr>
      <w:r>
        <w:rPr>
          <w:rFonts w:hint="eastAsia" w:hAnsi="宋体"/>
          <w:color w:val="auto"/>
          <w:highlight w:val="none"/>
        </w:rPr>
        <w:t>3、甲方应按合同约定的方式和时间向乙方支付维保服务费用。</w:t>
      </w:r>
    </w:p>
    <w:bookmarkEnd w:id="92"/>
    <w:p w14:paraId="2B5E6EDB">
      <w:pPr>
        <w:spacing w:line="360" w:lineRule="auto"/>
        <w:rPr>
          <w:rFonts w:hAnsi="宋体"/>
          <w:color w:val="auto"/>
          <w:highlight w:val="none"/>
        </w:rPr>
      </w:pPr>
      <w:bookmarkStart w:id="93" w:name="_Hlk184061548"/>
      <w:r>
        <w:rPr>
          <w:rFonts w:hint="eastAsia" w:hAnsi="宋体"/>
          <w:color w:val="auto"/>
          <w:highlight w:val="none"/>
        </w:rPr>
        <w:t>五、乙方权利义务</w:t>
      </w:r>
    </w:p>
    <w:bookmarkEnd w:id="93"/>
    <w:p w14:paraId="5C3DC654">
      <w:pPr>
        <w:spacing w:line="360" w:lineRule="auto"/>
        <w:ind w:firstLine="420" w:firstLineChars="200"/>
        <w:rPr>
          <w:rFonts w:hAnsi="宋体"/>
          <w:color w:val="auto"/>
          <w:highlight w:val="none"/>
        </w:rPr>
      </w:pPr>
      <w:r>
        <w:rPr>
          <w:rFonts w:hint="eastAsia"/>
          <w:color w:val="auto"/>
          <w:szCs w:val="21"/>
          <w:highlight w:val="none"/>
        </w:rPr>
        <w:t>1、</w:t>
      </w:r>
      <w:r>
        <w:rPr>
          <w:rFonts w:hint="eastAsia" w:hAnsi="宋体"/>
          <w:color w:val="auto"/>
          <w:highlight w:val="none"/>
        </w:rPr>
        <w:t>服务时间：7×24小时。</w:t>
      </w:r>
    </w:p>
    <w:p w14:paraId="3B0D3703">
      <w:pPr>
        <w:spacing w:line="360" w:lineRule="auto"/>
        <w:ind w:firstLine="420" w:firstLineChars="200"/>
        <w:rPr>
          <w:rFonts w:hAnsi="宋体"/>
          <w:color w:val="auto"/>
          <w:highlight w:val="none"/>
        </w:rPr>
      </w:pPr>
      <w:r>
        <w:rPr>
          <w:rFonts w:hint="eastAsia" w:hAnsi="宋体"/>
          <w:color w:val="auto"/>
          <w:highlight w:val="none"/>
        </w:rPr>
        <w:t>2、为保证甲方设备的正常运行，乙方根据设备运行情况提供每年</w:t>
      </w:r>
      <w:r>
        <w:rPr>
          <w:rFonts w:hAnsi="宋体"/>
          <w:b/>
          <w:bCs/>
          <w:color w:val="auto"/>
          <w:highlight w:val="none"/>
          <w:u w:val="single"/>
        </w:rPr>
        <w:t>XX</w:t>
      </w:r>
      <w:r>
        <w:rPr>
          <w:rFonts w:hint="eastAsia" w:hAnsi="宋体"/>
          <w:color w:val="auto"/>
          <w:highlight w:val="none"/>
        </w:rPr>
        <w:t>次定期预防性保养，由原厂工程师或原厂认证合格的工程师根据标准操作流程和测试程序完成。</w:t>
      </w:r>
      <w:bookmarkStart w:id="94" w:name="_Hlk100650363"/>
      <w:r>
        <w:rPr>
          <w:rFonts w:hint="eastAsia" w:hAnsi="宋体"/>
          <w:color w:val="auto"/>
          <w:highlight w:val="none"/>
        </w:rPr>
        <w:t>保修期结束前一个月内，乙方通知甲方并安排最后一次预防性保养。</w:t>
      </w:r>
      <w:bookmarkEnd w:id="94"/>
      <w:r>
        <w:rPr>
          <w:rFonts w:hint="eastAsia" w:hAnsi="宋体"/>
          <w:color w:val="auto"/>
          <w:highlight w:val="none"/>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0E0622E8">
      <w:pPr>
        <w:spacing w:line="470" w:lineRule="exact"/>
        <w:ind w:firstLine="420" w:firstLineChars="200"/>
        <w:rPr>
          <w:rFonts w:hAnsi="宋体"/>
          <w:color w:val="auto"/>
          <w:highlight w:val="none"/>
        </w:rPr>
      </w:pPr>
      <w:r>
        <w:rPr>
          <w:rFonts w:hint="eastAsia" w:hAnsi="宋体"/>
          <w:color w:val="auto"/>
          <w:highlight w:val="none"/>
        </w:rPr>
        <w:t>3、如设备发生故障，乙方在接到甲方报修电话后</w:t>
      </w:r>
      <w:r>
        <w:rPr>
          <w:rFonts w:hAnsi="宋体"/>
          <w:color w:val="auto"/>
          <w:highlight w:val="none"/>
        </w:rPr>
        <w:t>1</w:t>
      </w:r>
      <w:r>
        <w:rPr>
          <w:rFonts w:hint="eastAsia" w:hAnsi="宋体"/>
          <w:color w:val="auto"/>
          <w:highlight w:val="none"/>
        </w:rPr>
        <w:t>小时之内响应，</w:t>
      </w:r>
      <w:r>
        <w:rPr>
          <w:rFonts w:hAnsi="宋体"/>
          <w:color w:val="auto"/>
          <w:highlight w:val="none"/>
        </w:rPr>
        <w:t>3</w:t>
      </w:r>
      <w:r>
        <w:rPr>
          <w:rFonts w:hint="eastAsia" w:hAnsi="宋体"/>
          <w:color w:val="auto"/>
          <w:highlight w:val="none"/>
        </w:rPr>
        <w:t>小时内到达甲方现场（若本地无维修站点，2</w:t>
      </w:r>
      <w:r>
        <w:rPr>
          <w:rFonts w:hAnsi="宋体"/>
          <w:color w:val="auto"/>
          <w:highlight w:val="none"/>
        </w:rPr>
        <w:t>4</w:t>
      </w:r>
      <w:r>
        <w:rPr>
          <w:rFonts w:hint="eastAsia" w:hAnsi="宋体"/>
          <w:color w:val="auto"/>
          <w:highlight w:val="none"/>
        </w:rPr>
        <w:t>小时内到达现场）。如若乙方在4</w:t>
      </w:r>
      <w:r>
        <w:rPr>
          <w:rFonts w:hAnsi="宋体"/>
          <w:color w:val="auto"/>
          <w:highlight w:val="none"/>
        </w:rPr>
        <w:t>8</w:t>
      </w:r>
      <w:r>
        <w:rPr>
          <w:rFonts w:hint="eastAsia" w:hAnsi="宋体"/>
          <w:color w:val="auto"/>
          <w:highlight w:val="none"/>
        </w:rPr>
        <w:t>小时内无法修复故障需为甲方免费提供备用机，否则甲方可自行采取必要的措施，由此产生的风险和费用由乙方承担。如有特殊情况，乙方应立即电话通知甲方不能响应的原因，在获得甲方同意后，才可推迟响应时间。</w:t>
      </w:r>
    </w:p>
    <w:p w14:paraId="6DF8DC2D">
      <w:pPr>
        <w:spacing w:line="360" w:lineRule="auto"/>
        <w:ind w:firstLine="420" w:firstLineChars="200"/>
        <w:rPr>
          <w:rFonts w:hAnsi="宋体"/>
          <w:color w:val="auto"/>
          <w:highlight w:val="none"/>
        </w:rPr>
      </w:pPr>
      <w:r>
        <w:rPr>
          <w:rFonts w:hAnsi="宋体"/>
          <w:color w:val="auto"/>
          <w:highlight w:val="none"/>
        </w:rPr>
        <w:t>4</w:t>
      </w:r>
      <w:r>
        <w:rPr>
          <w:rFonts w:hint="eastAsia" w:hAnsi="宋体"/>
          <w:color w:val="auto"/>
          <w:highlight w:val="none"/>
        </w:rPr>
        <w:t>、乙方在设备故障维修中，必须免费更换保修范围内的设备备件，并承担维修期间的往返费、人工费、维修所需备件的搬运费、安装调试费以及系统软件升级等一切费用。</w:t>
      </w:r>
      <w:r>
        <w:rPr>
          <w:rFonts w:hint="eastAsia" w:hAnsi="宋体"/>
          <w:color w:val="auto"/>
          <w:highlight w:val="none"/>
          <w:lang w:val="en-US" w:eastAsia="zh-CN"/>
        </w:rPr>
        <w:t>更换的设备备件</w:t>
      </w:r>
      <w:r>
        <w:rPr>
          <w:rFonts w:hint="eastAsia" w:ascii="宋体" w:hAnsi="宋体" w:eastAsia="宋体"/>
          <w:color w:val="auto"/>
          <w:szCs w:val="21"/>
          <w:highlight w:val="none"/>
        </w:rPr>
        <w:t>乙方</w:t>
      </w:r>
      <w:r>
        <w:rPr>
          <w:rFonts w:hint="eastAsia" w:ascii="宋体" w:hAnsi="宋体" w:eastAsia="宋体"/>
          <w:color w:val="auto"/>
          <w:szCs w:val="21"/>
          <w:highlight w:val="none"/>
          <w:lang w:val="en-US" w:eastAsia="zh-CN"/>
        </w:rPr>
        <w:t>应</w:t>
      </w:r>
      <w:r>
        <w:rPr>
          <w:rFonts w:hint="eastAsia" w:ascii="宋体" w:hAnsi="宋体" w:eastAsia="宋体"/>
          <w:color w:val="auto"/>
          <w:szCs w:val="21"/>
          <w:highlight w:val="none"/>
        </w:rPr>
        <w:t>提供原设备制造商认可</w:t>
      </w:r>
      <w:r>
        <w:rPr>
          <w:rFonts w:hint="eastAsia" w:ascii="宋体" w:hAnsi="宋体" w:eastAsia="宋体"/>
          <w:color w:val="auto"/>
          <w:szCs w:val="21"/>
          <w:highlight w:val="none"/>
          <w:lang w:val="en-US" w:eastAsia="zh-CN"/>
        </w:rPr>
        <w:t>并能用于原设备的相关证件</w:t>
      </w:r>
      <w:r>
        <w:rPr>
          <w:rFonts w:hint="eastAsia" w:ascii="宋体" w:hAnsi="宋体" w:eastAsia="宋体"/>
          <w:color w:val="auto"/>
          <w:szCs w:val="21"/>
          <w:highlight w:val="none"/>
        </w:rPr>
        <w:t>（进口产品需提供报关单）</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如乙方无法提供原装</w:t>
      </w:r>
      <w:r>
        <w:rPr>
          <w:rFonts w:hint="eastAsia" w:ascii="宋体" w:hAnsi="宋体" w:eastAsia="宋体"/>
          <w:color w:val="auto"/>
          <w:szCs w:val="21"/>
          <w:highlight w:val="none"/>
          <w:lang w:val="en-US" w:eastAsia="zh-CN"/>
        </w:rPr>
        <w:t>备件</w:t>
      </w:r>
      <w:r>
        <w:rPr>
          <w:rFonts w:hint="eastAsia" w:ascii="宋体" w:hAnsi="宋体" w:eastAsia="宋体"/>
          <w:color w:val="auto"/>
          <w:szCs w:val="21"/>
          <w:highlight w:val="none"/>
        </w:rPr>
        <w:t>的，经甲方认可后可换用与原装</w:t>
      </w:r>
      <w:r>
        <w:rPr>
          <w:rFonts w:hint="eastAsia" w:ascii="宋体" w:hAnsi="宋体" w:eastAsia="宋体"/>
          <w:color w:val="auto"/>
          <w:szCs w:val="21"/>
          <w:highlight w:val="none"/>
          <w:lang w:val="en-US" w:eastAsia="zh-CN"/>
        </w:rPr>
        <w:t>备件</w:t>
      </w:r>
      <w:r>
        <w:rPr>
          <w:rFonts w:hint="eastAsia" w:ascii="宋体" w:hAnsi="宋体" w:eastAsia="宋体"/>
          <w:color w:val="auto"/>
          <w:szCs w:val="21"/>
          <w:highlight w:val="none"/>
        </w:rPr>
        <w:t>质量性能相当的替代</w:t>
      </w:r>
      <w:r>
        <w:rPr>
          <w:rFonts w:hint="eastAsia" w:ascii="宋体" w:hAnsi="宋体" w:eastAsia="宋体"/>
          <w:color w:val="auto"/>
          <w:szCs w:val="21"/>
          <w:highlight w:val="none"/>
          <w:lang w:val="en-US" w:eastAsia="zh-CN"/>
        </w:rPr>
        <w:t>备件</w:t>
      </w:r>
      <w:r>
        <w:rPr>
          <w:rFonts w:hint="eastAsia" w:ascii="宋体" w:hAnsi="宋体" w:eastAsia="宋体"/>
          <w:color w:val="auto"/>
          <w:szCs w:val="21"/>
          <w:highlight w:val="none"/>
        </w:rPr>
        <w:t>。</w:t>
      </w:r>
    </w:p>
    <w:p w14:paraId="2A5C9961">
      <w:pPr>
        <w:spacing w:line="360" w:lineRule="auto"/>
        <w:ind w:firstLine="420" w:firstLineChars="200"/>
        <w:rPr>
          <w:rFonts w:hAnsi="宋体"/>
          <w:color w:val="auto"/>
          <w:highlight w:val="none"/>
        </w:rPr>
      </w:pPr>
      <w:r>
        <w:rPr>
          <w:rFonts w:hint="eastAsia" w:hAnsi="宋体"/>
          <w:color w:val="auto"/>
          <w:highlight w:val="none"/>
        </w:rPr>
        <w:t>5、乙方承诺：一年内开机率保证在</w:t>
      </w:r>
      <w:r>
        <w:rPr>
          <w:rFonts w:hAnsi="宋体"/>
          <w:color w:val="auto"/>
          <w:highlight w:val="none"/>
        </w:rPr>
        <w:t>95</w:t>
      </w:r>
      <w:r>
        <w:rPr>
          <w:rFonts w:hint="eastAsia" w:hAnsi="宋体"/>
          <w:color w:val="auto"/>
          <w:highlight w:val="none"/>
        </w:rPr>
        <w:t>%</w:t>
      </w:r>
      <w:r>
        <w:rPr>
          <w:rFonts w:hint="eastAsia" w:hAnsi="宋体"/>
          <w:color w:val="auto"/>
          <w:highlight w:val="none"/>
          <w:lang w:val="en-US" w:eastAsia="zh-CN"/>
        </w:rPr>
        <w:t xml:space="preserve"> </w:t>
      </w:r>
      <w:r>
        <w:rPr>
          <w:rFonts w:hint="eastAsia" w:hAnsi="宋体"/>
          <w:color w:val="auto"/>
          <w:highlight w:val="none"/>
        </w:rPr>
        <w:t>以上（3</w:t>
      </w:r>
      <w:r>
        <w:rPr>
          <w:rFonts w:hAnsi="宋体"/>
          <w:color w:val="auto"/>
          <w:highlight w:val="none"/>
        </w:rPr>
        <w:t>65</w:t>
      </w:r>
      <w:r>
        <w:rPr>
          <w:rFonts w:hint="eastAsia" w:hAnsi="宋体"/>
          <w:color w:val="auto"/>
          <w:highlight w:val="none"/>
        </w:rPr>
        <w:t>天），停机时间不超过</w:t>
      </w:r>
      <w:r>
        <w:rPr>
          <w:rFonts w:hAnsi="宋体"/>
          <w:color w:val="auto"/>
          <w:highlight w:val="none"/>
        </w:rPr>
        <w:t>18</w:t>
      </w:r>
      <w:r>
        <w:rPr>
          <w:rFonts w:hint="eastAsia" w:hAnsi="宋体"/>
          <w:color w:val="auto"/>
          <w:highlight w:val="none"/>
        </w:rPr>
        <w:t>天，停机每超过1天，维保合同期顺延</w:t>
      </w:r>
      <w:r>
        <w:rPr>
          <w:rFonts w:hint="eastAsia" w:hAnsi="宋体"/>
          <w:b/>
          <w:bCs/>
          <w:color w:val="auto"/>
          <w:highlight w:val="none"/>
          <w:lang w:val="en-US" w:eastAsia="zh-CN"/>
        </w:rPr>
        <w:t>3</w:t>
      </w:r>
      <w:r>
        <w:rPr>
          <w:rFonts w:hint="eastAsia" w:hAnsi="宋体"/>
          <w:color w:val="auto"/>
          <w:highlight w:val="none"/>
        </w:rPr>
        <w:t>天。</w:t>
      </w:r>
    </w:p>
    <w:p w14:paraId="5837B686">
      <w:pPr>
        <w:spacing w:line="360" w:lineRule="auto"/>
        <w:ind w:firstLine="420" w:firstLineChars="200"/>
        <w:rPr>
          <w:rFonts w:hAnsi="宋体"/>
          <w:color w:val="auto"/>
          <w:highlight w:val="none"/>
        </w:rPr>
      </w:pPr>
      <w:r>
        <w:rPr>
          <w:rFonts w:hint="eastAsia" w:hAnsi="宋体"/>
          <w:color w:val="auto"/>
          <w:highlight w:val="none"/>
        </w:rPr>
        <w:t>6、保修期内，每次故障维修及保养结束后一周内乙方必须提供维修、保养记录、质量检测记录并交甲方医用临床医学工程处备案登记。</w:t>
      </w:r>
    </w:p>
    <w:p w14:paraId="4493B051">
      <w:pPr>
        <w:spacing w:line="360" w:lineRule="auto"/>
        <w:ind w:firstLine="420" w:firstLineChars="200"/>
        <w:rPr>
          <w:rFonts w:hAnsi="宋体"/>
          <w:color w:val="auto"/>
          <w:highlight w:val="none"/>
        </w:rPr>
      </w:pPr>
      <w:r>
        <w:rPr>
          <w:rFonts w:hAnsi="宋体"/>
          <w:color w:val="auto"/>
          <w:highlight w:val="none"/>
        </w:rPr>
        <w:t>7</w:t>
      </w:r>
      <w:r>
        <w:rPr>
          <w:rFonts w:hint="eastAsia" w:hAnsi="宋体"/>
          <w:color w:val="auto"/>
          <w:highlight w:val="none"/>
        </w:rPr>
        <w:t>、乙方工程师至甲方维修设备，必须事先与甲方临床医学工程处取得联系，并与甲方工程师共同完成维修工作。否则引起的一切责任由乙方负责。</w:t>
      </w:r>
    </w:p>
    <w:p w14:paraId="171B696B">
      <w:pPr>
        <w:spacing w:line="360" w:lineRule="auto"/>
        <w:ind w:firstLine="420" w:firstLineChars="200"/>
        <w:rPr>
          <w:rFonts w:hAnsi="宋体"/>
          <w:color w:val="auto"/>
          <w:highlight w:val="none"/>
        </w:rPr>
      </w:pPr>
      <w:r>
        <w:rPr>
          <w:rFonts w:hint="eastAsia" w:hAnsi="宋体"/>
          <w:color w:val="auto"/>
          <w:highlight w:val="none"/>
        </w:rPr>
        <w:t>8、乙方维修人员在维修期间必须遵守院方在安全、防盗、停车、周围环境卫生及排放污物的有关规定，否则引起的一切责任由乙方负责。</w:t>
      </w:r>
    </w:p>
    <w:p w14:paraId="1DDF7741">
      <w:pPr>
        <w:spacing w:line="360" w:lineRule="auto"/>
        <w:rPr>
          <w:rFonts w:hAnsi="宋体"/>
          <w:color w:val="auto"/>
          <w:highlight w:val="none"/>
        </w:rPr>
      </w:pPr>
      <w:r>
        <w:rPr>
          <w:rFonts w:hint="eastAsia" w:hAnsi="宋体"/>
          <w:color w:val="auto"/>
          <w:highlight w:val="none"/>
        </w:rPr>
        <w:t>六、违约责任</w:t>
      </w:r>
    </w:p>
    <w:p w14:paraId="203B7DD1">
      <w:pPr>
        <w:spacing w:line="360" w:lineRule="auto"/>
        <w:ind w:firstLine="420" w:firstLineChars="200"/>
        <w:rPr>
          <w:rFonts w:hAnsi="宋体"/>
          <w:color w:val="auto"/>
          <w:highlight w:val="none"/>
        </w:rPr>
      </w:pPr>
      <w:r>
        <w:rPr>
          <w:rFonts w:hAnsi="宋体"/>
          <w:color w:val="auto"/>
          <w:highlight w:val="none"/>
        </w:rPr>
        <w:t>1</w:t>
      </w:r>
      <w:r>
        <w:rPr>
          <w:rFonts w:hint="eastAsia" w:hAnsi="宋体"/>
          <w:color w:val="auto"/>
          <w:highlight w:val="none"/>
        </w:rPr>
        <w:t>、自本协议生效之日起，双方应严格依约履行。一方违约，应赔偿由此给其他方造成的损失。</w:t>
      </w:r>
    </w:p>
    <w:p w14:paraId="542604D5">
      <w:pPr>
        <w:spacing w:line="360" w:lineRule="auto"/>
        <w:ind w:firstLine="420" w:firstLineChars="200"/>
        <w:rPr>
          <w:rFonts w:hAnsi="宋体"/>
          <w:color w:val="auto"/>
          <w:highlight w:val="none"/>
        </w:rPr>
      </w:pPr>
      <w:r>
        <w:rPr>
          <w:rFonts w:hint="eastAsia" w:hAnsi="宋体"/>
          <w:color w:val="auto"/>
          <w:highlight w:val="none"/>
        </w:rPr>
        <w:t>2、如果乙方没有按照合同规定进行维保服务，每逾期一日，乙方应按合同金额的1%计算，但该违约金总额不超过合同总金额的30%。乙方逾期不进行维保服</w:t>
      </w:r>
      <w:r>
        <w:rPr>
          <w:rFonts w:hint="eastAsia" w:hAnsi="宋体"/>
          <w:color w:val="auto"/>
          <w:highlight w:val="none"/>
          <w:lang w:val="en-US" w:eastAsia="zh-CN"/>
        </w:rPr>
        <w:t>务10</w:t>
      </w:r>
      <w:r>
        <w:rPr>
          <w:rFonts w:hint="eastAsia" w:hAnsi="宋体"/>
          <w:color w:val="auto"/>
          <w:highlight w:val="none"/>
        </w:rPr>
        <w:t>日以上的，则视乙方不能提供正常维保，甲方有权因此解除本合同</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同时乙方应承担</w:t>
      </w:r>
      <w:r>
        <w:rPr>
          <w:rFonts w:hint="eastAsia" w:ascii="宋体" w:hAnsi="宋体" w:eastAsia="宋体"/>
          <w:color w:val="auto"/>
          <w:szCs w:val="21"/>
          <w:highlight w:val="none"/>
        </w:rPr>
        <w:t>3</w:t>
      </w:r>
      <w:r>
        <w:rPr>
          <w:rFonts w:ascii="宋体" w:hAnsi="宋体" w:eastAsia="宋体"/>
          <w:color w:val="auto"/>
          <w:szCs w:val="21"/>
          <w:highlight w:val="none"/>
        </w:rPr>
        <w:t>0</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的违约金</w:t>
      </w:r>
      <w:r>
        <w:rPr>
          <w:rFonts w:hint="eastAsia" w:ascii="宋体" w:hAnsi="宋体" w:eastAsia="宋体"/>
          <w:color w:val="auto"/>
          <w:szCs w:val="21"/>
          <w:highlight w:val="none"/>
        </w:rPr>
        <w:t>。</w:t>
      </w:r>
    </w:p>
    <w:p w14:paraId="7DBCAA84">
      <w:pPr>
        <w:spacing w:line="360" w:lineRule="auto"/>
        <w:ind w:firstLine="420" w:firstLineChars="200"/>
        <w:rPr>
          <w:rFonts w:hAnsi="宋体"/>
          <w:color w:val="auto"/>
          <w:highlight w:val="none"/>
        </w:rPr>
      </w:pPr>
      <w:r>
        <w:rPr>
          <w:rFonts w:hint="eastAsia" w:hAnsi="宋体"/>
          <w:color w:val="auto"/>
          <w:highlight w:val="none"/>
        </w:rPr>
        <w:t>3、乙方若违反本合同</w:t>
      </w:r>
      <w:bookmarkStart w:id="95" w:name="_Hlk100650478"/>
      <w:r>
        <w:rPr>
          <w:rFonts w:hint="eastAsia" w:hAnsi="宋体"/>
          <w:color w:val="auto"/>
          <w:highlight w:val="none"/>
        </w:rPr>
        <w:t>第</w:t>
      </w:r>
      <w:r>
        <w:rPr>
          <w:rFonts w:hint="eastAsia" w:hAnsi="宋体"/>
          <w:color w:val="auto"/>
          <w:highlight w:val="none"/>
          <w:lang w:val="en-US" w:eastAsia="zh-CN"/>
        </w:rPr>
        <w:t>六</w:t>
      </w:r>
      <w:r>
        <w:rPr>
          <w:rFonts w:hint="eastAsia" w:hAnsi="宋体"/>
          <w:color w:val="auto"/>
          <w:highlight w:val="none"/>
        </w:rPr>
        <w:t>条下相关款项、</w:t>
      </w:r>
      <w:bookmarkEnd w:id="95"/>
      <w:r>
        <w:rPr>
          <w:rFonts w:hint="eastAsia" w:hAnsi="宋体"/>
          <w:color w:val="auto"/>
          <w:highlight w:val="none"/>
        </w:rPr>
        <w:t>第</w:t>
      </w:r>
      <w:r>
        <w:rPr>
          <w:rFonts w:hint="eastAsia" w:hAnsi="宋体"/>
          <w:color w:val="auto"/>
          <w:highlight w:val="none"/>
          <w:lang w:val="en-US" w:eastAsia="zh-CN"/>
        </w:rPr>
        <w:t>八</w:t>
      </w:r>
      <w:r>
        <w:rPr>
          <w:rFonts w:hint="eastAsia" w:hAnsi="宋体"/>
          <w:color w:val="auto"/>
          <w:highlight w:val="none"/>
        </w:rPr>
        <w:t>条与第</w:t>
      </w:r>
      <w:r>
        <w:rPr>
          <w:rFonts w:hint="eastAsia" w:hAnsi="宋体"/>
          <w:color w:val="auto"/>
          <w:highlight w:val="none"/>
          <w:lang w:val="en-US" w:eastAsia="zh-CN"/>
        </w:rPr>
        <w:t>九</w:t>
      </w:r>
      <w:r>
        <w:rPr>
          <w:rFonts w:hint="eastAsia" w:hAnsi="宋体"/>
          <w:color w:val="auto"/>
          <w:highlight w:val="none"/>
        </w:rPr>
        <w:t>条视为对本合同的重大违约，甲方随时有权书面通知乙方立即解除本合同。</w:t>
      </w:r>
    </w:p>
    <w:p w14:paraId="5D08E120">
      <w:pPr>
        <w:spacing w:line="360" w:lineRule="auto"/>
        <w:ind w:firstLine="420" w:firstLineChars="200"/>
        <w:rPr>
          <w:rFonts w:hAnsi="宋体"/>
          <w:color w:val="auto"/>
          <w:highlight w:val="none"/>
        </w:rPr>
      </w:pPr>
      <w:r>
        <w:rPr>
          <w:rFonts w:hint="eastAsia" w:hAnsi="宋体"/>
          <w:color w:val="auto"/>
          <w:highlight w:val="none"/>
        </w:rPr>
        <w:t>4、因乙方的违约行为给甲方造成损失的（包括所有直接或间接损失），如果违约金不足以补偿该损失的，甲方有权继续要求乙方赔偿甲方所有实际损失，并保留申诉的权利。</w:t>
      </w:r>
    </w:p>
    <w:p w14:paraId="1F51D852">
      <w:pPr>
        <w:spacing w:line="360" w:lineRule="auto"/>
        <w:rPr>
          <w:rFonts w:hAnsi="宋体"/>
          <w:color w:val="auto"/>
          <w:highlight w:val="none"/>
        </w:rPr>
      </w:pPr>
      <w:bookmarkStart w:id="96" w:name="_Hlk100650496"/>
      <w:r>
        <w:rPr>
          <w:rFonts w:hint="eastAsia" w:hAnsi="宋体"/>
          <w:color w:val="auto"/>
          <w:highlight w:val="none"/>
        </w:rPr>
        <w:t>七、不可抗力条款</w:t>
      </w:r>
    </w:p>
    <w:p w14:paraId="24DB3820">
      <w:pPr>
        <w:spacing w:line="360" w:lineRule="auto"/>
        <w:ind w:firstLine="420" w:firstLineChars="200"/>
        <w:rPr>
          <w:rFonts w:hAnsi="宋体"/>
          <w:color w:val="auto"/>
          <w:highlight w:val="none"/>
        </w:rPr>
      </w:pPr>
      <w:r>
        <w:rPr>
          <w:rFonts w:hint="eastAsia" w:hAnsi="宋体"/>
          <w:color w:val="auto"/>
          <w:highlight w:val="none"/>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color w:val="auto"/>
          <w:highlight w:val="none"/>
        </w:rPr>
        <w:t>5</w:t>
      </w:r>
      <w:r>
        <w:rPr>
          <w:rFonts w:hint="eastAsia" w:hAnsi="宋体"/>
          <w:color w:val="auto"/>
          <w:highlight w:val="none"/>
        </w:rPr>
        <w:t>个工作日内对该不可抗力事件的发生及其持续时间提供有关机构出具的适当证明。在取得有关机构证明后，甲方允许乙方延期履行、部分履行或不履行合同，并根据情况可部分或全部免除乙方应承担的违约责任。</w:t>
      </w:r>
    </w:p>
    <w:bookmarkEnd w:id="96"/>
    <w:p w14:paraId="5BFA71F9">
      <w:pPr>
        <w:tabs>
          <w:tab w:val="left" w:pos="420"/>
        </w:tabs>
        <w:spacing w:line="360" w:lineRule="auto"/>
        <w:rPr>
          <w:rFonts w:hAnsi="宋体"/>
          <w:color w:val="auto"/>
          <w:highlight w:val="none"/>
        </w:rPr>
      </w:pPr>
      <w:r>
        <w:rPr>
          <w:rFonts w:hint="eastAsia" w:hAnsi="宋体"/>
          <w:color w:val="auto"/>
          <w:highlight w:val="none"/>
        </w:rPr>
        <w:t>八、保密条款</w:t>
      </w:r>
    </w:p>
    <w:p w14:paraId="27007169">
      <w:pPr>
        <w:spacing w:line="360" w:lineRule="auto"/>
        <w:ind w:firstLine="420" w:firstLineChars="200"/>
        <w:rPr>
          <w:rFonts w:hAnsi="宋体"/>
          <w:color w:val="auto"/>
          <w:highlight w:val="none"/>
        </w:rPr>
      </w:pPr>
      <w:r>
        <w:rPr>
          <w:rFonts w:hint="eastAsia" w:hAnsi="宋体"/>
          <w:color w:val="auto"/>
          <w:highlight w:val="none"/>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57CD9AF4">
      <w:pPr>
        <w:spacing w:line="360" w:lineRule="auto"/>
        <w:ind w:firstLine="420" w:firstLineChars="200"/>
        <w:rPr>
          <w:rFonts w:hAnsi="宋体"/>
          <w:color w:val="auto"/>
          <w:highlight w:val="none"/>
        </w:rPr>
      </w:pPr>
      <w:r>
        <w:rPr>
          <w:rFonts w:hint="eastAsia" w:hAnsi="宋体"/>
          <w:color w:val="auto"/>
          <w:highlight w:val="none"/>
        </w:rPr>
        <w:t>2、双方应确保己方人员遵守本条约定保密义务，否则由此产生的一切后果由违约方承担责任。</w:t>
      </w:r>
    </w:p>
    <w:p w14:paraId="211E0860">
      <w:pPr>
        <w:spacing w:line="360" w:lineRule="auto"/>
        <w:ind w:firstLine="420" w:firstLineChars="200"/>
        <w:rPr>
          <w:rFonts w:hAnsi="宋体"/>
          <w:color w:val="auto"/>
          <w:highlight w:val="none"/>
        </w:rPr>
      </w:pPr>
      <w:r>
        <w:rPr>
          <w:rFonts w:hint="eastAsia" w:hAnsi="宋体"/>
          <w:color w:val="auto"/>
          <w:highlight w:val="none"/>
        </w:rPr>
        <w:t>3、本条约定在本协议解除、终止或被认为无效后仍然有效。</w:t>
      </w:r>
    </w:p>
    <w:p w14:paraId="03513E90">
      <w:pPr>
        <w:spacing w:line="360" w:lineRule="auto"/>
        <w:rPr>
          <w:color w:val="auto"/>
          <w:szCs w:val="21"/>
          <w:highlight w:val="none"/>
        </w:rPr>
      </w:pPr>
      <w:bookmarkStart w:id="97" w:name="_Hlk184062763"/>
      <w:r>
        <w:rPr>
          <w:rFonts w:hint="eastAsia"/>
          <w:color w:val="auto"/>
          <w:szCs w:val="21"/>
          <w:highlight w:val="none"/>
          <w:lang w:val="en-US" w:eastAsia="zh-CN"/>
        </w:rPr>
        <w:t>九</w:t>
      </w:r>
      <w:r>
        <w:rPr>
          <w:rFonts w:hint="eastAsia"/>
          <w:color w:val="auto"/>
          <w:szCs w:val="21"/>
          <w:highlight w:val="none"/>
        </w:rPr>
        <w:t>、争议解决：因本合同签订以及履行过程所产生的任何纠纷，双方友好协商解决，未能协商一致的，可至甲方所在地有管辖权的法院起诉。</w:t>
      </w:r>
    </w:p>
    <w:bookmarkEnd w:id="97"/>
    <w:p w14:paraId="77DB3EBF">
      <w:pPr>
        <w:spacing w:line="360" w:lineRule="auto"/>
        <w:rPr>
          <w:rFonts w:hAnsi="宋体"/>
          <w:color w:val="auto"/>
          <w:highlight w:val="none"/>
        </w:rPr>
      </w:pPr>
      <w:bookmarkStart w:id="98" w:name="_Hlk100650549"/>
      <w:r>
        <w:rPr>
          <w:rFonts w:hint="eastAsia" w:hAnsi="宋体"/>
          <w:color w:val="auto"/>
          <w:highlight w:val="none"/>
        </w:rPr>
        <w:t>十、合同的解除条款</w:t>
      </w:r>
    </w:p>
    <w:p w14:paraId="2E913DA2">
      <w:pPr>
        <w:spacing w:line="360" w:lineRule="auto"/>
        <w:ind w:firstLine="420" w:firstLineChars="200"/>
        <w:rPr>
          <w:rFonts w:hAnsi="宋体"/>
          <w:color w:val="auto"/>
          <w:highlight w:val="none"/>
        </w:rPr>
      </w:pPr>
      <w:r>
        <w:rPr>
          <w:rFonts w:hint="eastAsia" w:hAnsi="宋体"/>
          <w:color w:val="auto"/>
          <w:highlight w:val="none"/>
        </w:rPr>
        <w:t>本合同第九条下解约事由与法定解约事由出现后，解约方有权提前三个工作日书面通知对方解约，自通知送达之日起，本合同解除。</w:t>
      </w:r>
    </w:p>
    <w:bookmarkEnd w:id="98"/>
    <w:p w14:paraId="2F6D3126">
      <w:pPr>
        <w:spacing w:line="360" w:lineRule="auto"/>
        <w:rPr>
          <w:rFonts w:hAnsi="宋体"/>
          <w:color w:val="auto"/>
          <w:highlight w:val="none"/>
        </w:rPr>
      </w:pPr>
      <w:r>
        <w:rPr>
          <w:rFonts w:hint="eastAsia" w:hAnsi="宋体"/>
          <w:color w:val="auto"/>
          <w:highlight w:val="none"/>
        </w:rPr>
        <w:t>十</w:t>
      </w:r>
      <w:r>
        <w:rPr>
          <w:rFonts w:hint="eastAsia" w:hAnsi="宋体"/>
          <w:color w:val="auto"/>
          <w:highlight w:val="none"/>
          <w:lang w:val="en-US" w:eastAsia="zh-CN"/>
        </w:rPr>
        <w:t>一</w:t>
      </w:r>
      <w:r>
        <w:rPr>
          <w:rFonts w:hint="eastAsia" w:hAnsi="宋体"/>
          <w:color w:val="auto"/>
          <w:highlight w:val="none"/>
        </w:rPr>
        <w:t>、其他条款</w:t>
      </w:r>
    </w:p>
    <w:p w14:paraId="4BD8C347">
      <w:pPr>
        <w:spacing w:line="360" w:lineRule="auto"/>
        <w:ind w:firstLine="420" w:firstLineChars="200"/>
        <w:rPr>
          <w:rFonts w:hAnsi="宋体"/>
          <w:color w:val="auto"/>
          <w:highlight w:val="none"/>
        </w:rPr>
      </w:pPr>
      <w:bookmarkStart w:id="99" w:name="_Hlk100650600"/>
      <w:r>
        <w:rPr>
          <w:rFonts w:hint="eastAsia" w:hAnsi="宋体"/>
          <w:color w:val="auto"/>
          <w:highlight w:val="none"/>
        </w:rPr>
        <w:t>1、本项目招标文件、投标文件、合同及其附件、其他承诺为本项目不可分割的组成部分，具有同等法律效力。</w:t>
      </w:r>
    </w:p>
    <w:bookmarkEnd w:id="99"/>
    <w:p w14:paraId="0F7DB427">
      <w:pPr>
        <w:spacing w:line="360" w:lineRule="auto"/>
        <w:ind w:firstLine="420" w:firstLineChars="200"/>
        <w:rPr>
          <w:rFonts w:hAnsi="宋体"/>
          <w:color w:val="auto"/>
          <w:highlight w:val="none"/>
        </w:rPr>
      </w:pPr>
      <w:r>
        <w:rPr>
          <w:rFonts w:hint="eastAsia" w:hAnsi="宋体"/>
          <w:color w:val="auto"/>
          <w:highlight w:val="none"/>
        </w:rPr>
        <w:t>2、本合同一式肆份，甲方执叁份，乙方执壹份，经双方签字盖章并加盖骑缝章后生效，未经事宜双方协商解决。</w:t>
      </w:r>
    </w:p>
    <w:p w14:paraId="65BC7B09">
      <w:pPr>
        <w:spacing w:line="380" w:lineRule="exact"/>
        <w:ind w:firstLine="420" w:firstLineChars="200"/>
        <w:rPr>
          <w:rFonts w:hAnsi="宋体"/>
          <w:color w:val="auto"/>
          <w:highlight w:val="none"/>
        </w:rPr>
      </w:pPr>
      <w:bookmarkStart w:id="100" w:name="_Hlk100650618"/>
      <w:r>
        <w:rPr>
          <w:rFonts w:hint="eastAsia" w:hAnsi="宋体"/>
          <w:color w:val="auto"/>
          <w:highlight w:val="none"/>
        </w:rPr>
        <w:t>3、本合同适用的语言文字为汉语文字，本合同适用法律法规为中华人民共和国及其区域内相关法律法规，本合同条款解释语言以中文为准。</w:t>
      </w:r>
      <w:bookmarkEnd w:id="100"/>
    </w:p>
    <w:p w14:paraId="41D908FF">
      <w:pPr>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      </w:t>
      </w:r>
      <w:r>
        <w:rPr>
          <w:rFonts w:hint="eastAsia" w:ascii="宋体" w:hAnsi="宋体" w:eastAsia="宋体" w:cs="宋体"/>
          <w:color w:val="auto"/>
          <w:szCs w:val="21"/>
          <w:highlight w:val="none"/>
          <w:u w:val="single"/>
        </w:rPr>
        <w:t>南京市第一医院</w:t>
      </w:r>
      <w:r>
        <w:rPr>
          <w:rFonts w:hint="eastAsia"/>
          <w:color w:val="auto"/>
          <w:szCs w:val="21"/>
          <w:highlight w:val="none"/>
          <w:u w:val="single"/>
        </w:rPr>
        <w:t xml:space="preserve">     </w:t>
      </w:r>
      <w:r>
        <w:rPr>
          <w:rFonts w:hint="eastAsia"/>
          <w:color w:val="auto"/>
          <w:szCs w:val="21"/>
          <w:highlight w:val="none"/>
        </w:rPr>
        <w:t>（盖章）</w:t>
      </w:r>
      <w:r>
        <w:rPr>
          <w:color w:val="auto"/>
          <w:szCs w:val="21"/>
          <w:highlight w:val="none"/>
        </w:rPr>
        <w:t xml:space="preserve">      </w:t>
      </w:r>
      <w:r>
        <w:rPr>
          <w:rFonts w:hint="eastAsia"/>
          <w:color w:val="auto"/>
          <w:szCs w:val="21"/>
          <w:highlight w:val="none"/>
          <w:lang w:val="en-US" w:eastAsia="zh-CN"/>
        </w:rPr>
        <w:t xml:space="preserve">  乙方</w:t>
      </w:r>
      <w:r>
        <w:rPr>
          <w:rFonts w:hint="eastAsia"/>
          <w:color w:val="auto"/>
          <w:szCs w:val="21"/>
          <w:highlight w:val="none"/>
        </w:rPr>
        <w:t>：</w:t>
      </w:r>
      <w:r>
        <w:rPr>
          <w:rFonts w:hint="eastAsia" w:ascii="楷体_GB2312" w:eastAsia="楷体_GB2312"/>
          <w:color w:val="auto"/>
          <w:szCs w:val="21"/>
          <w:highlight w:val="none"/>
          <w:u w:val="single"/>
        </w:rPr>
        <w:t xml:space="preserve"> </w:t>
      </w:r>
      <w:r>
        <w:rPr>
          <w:rFonts w:ascii="楷体_GB2312" w:eastAsia="楷体_GB2312"/>
          <w:color w:val="auto"/>
          <w:szCs w:val="21"/>
          <w:highlight w:val="none"/>
          <w:u w:val="single"/>
        </w:rPr>
        <w:t xml:space="preserve">            </w:t>
      </w:r>
      <w:r>
        <w:rPr>
          <w:rFonts w:hint="eastAsia"/>
          <w:color w:val="auto"/>
          <w:highlight w:val="none"/>
          <w:u w:val="single"/>
        </w:rPr>
        <w:t xml:space="preserve"> </w:t>
      </w:r>
      <w:r>
        <w:rPr>
          <w:rFonts w:hint="eastAsia"/>
          <w:color w:val="auto"/>
          <w:szCs w:val="21"/>
          <w:highlight w:val="none"/>
        </w:rPr>
        <w:t>（盖章）</w:t>
      </w:r>
    </w:p>
    <w:p w14:paraId="231549D4">
      <w:pPr>
        <w:spacing w:line="360" w:lineRule="auto"/>
        <w:rPr>
          <w:color w:val="auto"/>
          <w:szCs w:val="21"/>
          <w:highlight w:val="none"/>
        </w:rPr>
      </w:pPr>
      <w:r>
        <w:rPr>
          <w:rFonts w:hint="eastAsia"/>
          <w:color w:val="auto"/>
          <w:szCs w:val="21"/>
          <w:highlight w:val="none"/>
        </w:rPr>
        <w:t>甲方法定代表人</w:t>
      </w:r>
      <w:r>
        <w:rPr>
          <w:rFonts w:hint="eastAsia"/>
          <w:color w:val="auto"/>
          <w:szCs w:val="21"/>
          <w:highlight w:val="none"/>
          <w:lang w:eastAsia="zh-CN"/>
        </w:rPr>
        <w:t>：</w:t>
      </w:r>
      <w:r>
        <w:rPr>
          <w:color w:val="auto"/>
          <w:szCs w:val="21"/>
          <w:highlight w:val="none"/>
        </w:rPr>
        <w:t xml:space="preserve">                               </w:t>
      </w:r>
      <w:r>
        <w:rPr>
          <w:rFonts w:hint="eastAsia"/>
          <w:color w:val="auto"/>
          <w:szCs w:val="21"/>
          <w:highlight w:val="none"/>
        </w:rPr>
        <w:t>乙方法定代表人</w:t>
      </w:r>
      <w:r>
        <w:rPr>
          <w:rFonts w:hint="eastAsia"/>
          <w:color w:val="auto"/>
          <w:szCs w:val="21"/>
          <w:highlight w:val="none"/>
          <w:lang w:eastAsia="zh-CN"/>
        </w:rPr>
        <w:t>：</w:t>
      </w:r>
      <w:r>
        <w:rPr>
          <w:color w:val="auto"/>
          <w:szCs w:val="21"/>
          <w:highlight w:val="none"/>
        </w:rPr>
        <w:t xml:space="preserve"> </w:t>
      </w:r>
    </w:p>
    <w:p w14:paraId="5F88F1ED">
      <w:pPr>
        <w:spacing w:line="360" w:lineRule="auto"/>
        <w:rPr>
          <w:color w:val="auto"/>
          <w:szCs w:val="21"/>
          <w:highlight w:val="none"/>
        </w:rPr>
      </w:pPr>
      <w:r>
        <w:rPr>
          <w:rFonts w:hint="eastAsia"/>
          <w:color w:val="auto"/>
          <w:szCs w:val="21"/>
          <w:highlight w:val="none"/>
        </w:rPr>
        <w:t>或授权委托人：</w:t>
      </w:r>
      <w:r>
        <w:rPr>
          <w:color w:val="auto"/>
          <w:szCs w:val="21"/>
          <w:highlight w:val="none"/>
        </w:rPr>
        <w:t>__</w:t>
      </w:r>
      <w:r>
        <w:rPr>
          <w:rFonts w:hint="eastAsia"/>
          <w:color w:val="auto"/>
          <w:szCs w:val="21"/>
          <w:highlight w:val="none"/>
          <w:lang w:val="en-US" w:eastAsia="zh-CN"/>
        </w:rPr>
        <w:t>胡莹</w:t>
      </w:r>
      <w:r>
        <w:rPr>
          <w:color w:val="auto"/>
          <w:szCs w:val="21"/>
          <w:highlight w:val="none"/>
        </w:rPr>
        <w:t xml:space="preserve">________________         </w:t>
      </w:r>
      <w:r>
        <w:rPr>
          <w:rFonts w:hint="eastAsia"/>
          <w:color w:val="auto"/>
          <w:szCs w:val="21"/>
          <w:highlight w:val="none"/>
          <w:lang w:val="en-US" w:eastAsia="zh-CN"/>
        </w:rPr>
        <w:t xml:space="preserve">  </w:t>
      </w:r>
      <w:r>
        <w:rPr>
          <w:rFonts w:hint="eastAsia"/>
          <w:color w:val="auto"/>
          <w:szCs w:val="21"/>
          <w:highlight w:val="none"/>
        </w:rPr>
        <w:t>或授权委托人：</w:t>
      </w:r>
      <w:r>
        <w:rPr>
          <w:color w:val="auto"/>
          <w:szCs w:val="21"/>
          <w:highlight w:val="none"/>
        </w:rPr>
        <w:t xml:space="preserve">_____________________                                                  </w:t>
      </w:r>
    </w:p>
    <w:p w14:paraId="55877CD9">
      <w:pPr>
        <w:spacing w:line="360" w:lineRule="auto"/>
        <w:rPr>
          <w:rFonts w:hint="eastAsia"/>
          <w:color w:val="auto"/>
          <w:szCs w:val="21"/>
          <w:highlight w:val="none"/>
          <w:u w:val="single"/>
        </w:rPr>
      </w:pPr>
      <w:r>
        <w:rPr>
          <w:rFonts w:hint="eastAsia"/>
          <w:color w:val="auto"/>
          <w:szCs w:val="21"/>
          <w:highlight w:val="none"/>
        </w:rPr>
        <w:t>日期：</w:t>
      </w:r>
      <w:r>
        <w:rPr>
          <w:color w:val="auto"/>
          <w:szCs w:val="21"/>
          <w:highlight w:val="none"/>
        </w:rPr>
        <w:t xml:space="preserve">______________________________           </w:t>
      </w:r>
      <w:r>
        <w:rPr>
          <w:rFonts w:hint="eastAsia"/>
          <w:color w:val="auto"/>
          <w:szCs w:val="21"/>
          <w:highlight w:val="none"/>
        </w:rPr>
        <w:t>日期：</w:t>
      </w:r>
      <w:r>
        <w:rPr>
          <w:color w:val="auto"/>
          <w:szCs w:val="21"/>
          <w:highlight w:val="none"/>
          <w:u w:val="single"/>
        </w:rPr>
        <w:t xml:space="preserve">_                           </w:t>
      </w:r>
    </w:p>
    <w:p w14:paraId="4F8CA795">
      <w:pPr>
        <w:spacing w:line="360" w:lineRule="auto"/>
        <w:rPr>
          <w:color w:val="auto"/>
          <w:highlight w:val="none"/>
        </w:rPr>
      </w:pPr>
    </w:p>
    <w:p w14:paraId="519614FD">
      <w:pPr>
        <w:spacing w:line="360" w:lineRule="auto"/>
        <w:rPr>
          <w:color w:val="auto"/>
          <w:highlight w:val="none"/>
        </w:rPr>
      </w:pPr>
    </w:p>
    <w:p w14:paraId="445DFBFC">
      <w:pPr>
        <w:spacing w:line="360" w:lineRule="auto"/>
        <w:rPr>
          <w:color w:val="auto"/>
          <w:highlight w:val="none"/>
        </w:rPr>
      </w:pPr>
    </w:p>
    <w:p w14:paraId="33DF00D7">
      <w:pPr>
        <w:spacing w:line="360" w:lineRule="auto"/>
        <w:rPr>
          <w:color w:val="auto"/>
          <w:highlight w:val="none"/>
        </w:rPr>
      </w:pPr>
    </w:p>
    <w:p w14:paraId="24971885">
      <w:pPr>
        <w:spacing w:line="360" w:lineRule="auto"/>
        <w:rPr>
          <w:color w:val="auto"/>
          <w:highlight w:val="none"/>
        </w:rPr>
      </w:pPr>
    </w:p>
    <w:p w14:paraId="0F952D4F">
      <w:pPr>
        <w:spacing w:line="360" w:lineRule="auto"/>
        <w:rPr>
          <w:color w:val="auto"/>
          <w:highlight w:val="none"/>
        </w:rPr>
      </w:pPr>
      <w:r>
        <w:rPr>
          <w:color w:val="auto"/>
          <w:highlight w:val="none"/>
        </w:rPr>
        <w:t>附</w:t>
      </w:r>
      <w:r>
        <w:rPr>
          <w:rFonts w:hint="eastAsia"/>
          <w:color w:val="auto"/>
          <w:highlight w:val="none"/>
          <w:lang w:val="en-US" w:eastAsia="zh-CN"/>
        </w:rPr>
        <w:t>件一</w:t>
      </w:r>
      <w:r>
        <w:rPr>
          <w:rFonts w:hint="eastAsia"/>
          <w:color w:val="auto"/>
          <w:highlight w:val="none"/>
        </w:rPr>
        <w:t xml:space="preserve">： </w:t>
      </w:r>
      <w:r>
        <w:rPr>
          <w:color w:val="auto"/>
          <w:highlight w:val="none"/>
        </w:rPr>
        <w:t xml:space="preserve">   </w:t>
      </w:r>
    </w:p>
    <w:p w14:paraId="50705616">
      <w:pPr>
        <w:spacing w:line="360" w:lineRule="auto"/>
        <w:rPr>
          <w:color w:val="auto"/>
          <w:highlight w:val="none"/>
        </w:rPr>
      </w:pPr>
      <w:r>
        <w:rPr>
          <w:color w:val="auto"/>
          <w:highlight w:val="none"/>
        </w:rPr>
        <w:t>（</w:t>
      </w:r>
      <w:r>
        <w:rPr>
          <w:rFonts w:hint="eastAsia"/>
          <w:color w:val="auto"/>
          <w:highlight w:val="none"/>
          <w:lang w:val="en-US" w:eastAsia="zh-CN"/>
        </w:rPr>
        <w:t>品牌：              ，</w:t>
      </w:r>
      <w:r>
        <w:rPr>
          <w:color w:val="auto"/>
          <w:highlight w:val="none"/>
        </w:rPr>
        <w:t>数量：</w:t>
      </w:r>
      <w:r>
        <w:rPr>
          <w:rFonts w:hint="eastAsia"/>
          <w:color w:val="auto"/>
          <w:highlight w:val="none"/>
          <w:lang w:val="en-US" w:eastAsia="zh-CN"/>
        </w:rPr>
        <w:t xml:space="preserve">  </w:t>
      </w:r>
      <w:r>
        <w:rPr>
          <w:rFonts w:hint="eastAsia"/>
          <w:color w:val="auto"/>
          <w:highlight w:val="none"/>
        </w:rPr>
        <w:t xml:space="preserve"> </w:t>
      </w:r>
      <w:r>
        <w:rPr>
          <w:rFonts w:hint="eastAsia"/>
          <w:color w:val="auto"/>
          <w:highlight w:val="none"/>
          <w:lang w:val="en-US" w:eastAsia="zh-CN"/>
        </w:rPr>
        <w:t xml:space="preserve">      </w:t>
      </w:r>
      <w:r>
        <w:rPr>
          <w:color w:val="auto"/>
          <w:highlight w:val="none"/>
        </w:rPr>
        <w:t xml:space="preserve"> ，设备具体型号、编号详见下表），整机保修。</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2728"/>
        <w:gridCol w:w="2909"/>
        <w:gridCol w:w="2378"/>
      </w:tblGrid>
      <w:tr w14:paraId="2A91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41" w:type="dxa"/>
            <w:noWrap w:val="0"/>
            <w:vAlign w:val="center"/>
          </w:tcPr>
          <w:p w14:paraId="7D5EE078">
            <w:pPr>
              <w:widowControl/>
              <w:spacing w:line="360" w:lineRule="auto"/>
              <w:jc w:val="center"/>
              <w:rPr>
                <w:b/>
                <w:bCs/>
                <w:color w:val="auto"/>
                <w:kern w:val="0"/>
                <w:szCs w:val="21"/>
                <w:highlight w:val="none"/>
              </w:rPr>
            </w:pPr>
            <w:r>
              <w:rPr>
                <w:b/>
                <w:bCs/>
                <w:color w:val="auto"/>
                <w:kern w:val="0"/>
                <w:szCs w:val="21"/>
                <w:highlight w:val="none"/>
              </w:rPr>
              <w:t>编号</w:t>
            </w:r>
          </w:p>
        </w:tc>
        <w:tc>
          <w:tcPr>
            <w:tcW w:w="2728" w:type="dxa"/>
            <w:noWrap/>
            <w:vAlign w:val="center"/>
          </w:tcPr>
          <w:p w14:paraId="64CC4710">
            <w:pPr>
              <w:widowControl/>
              <w:spacing w:line="360" w:lineRule="auto"/>
              <w:jc w:val="center"/>
              <w:rPr>
                <w:b/>
                <w:bCs/>
                <w:color w:val="auto"/>
                <w:kern w:val="0"/>
                <w:szCs w:val="21"/>
                <w:highlight w:val="none"/>
              </w:rPr>
            </w:pPr>
            <w:r>
              <w:rPr>
                <w:b/>
                <w:bCs/>
                <w:color w:val="auto"/>
                <w:kern w:val="0"/>
                <w:szCs w:val="21"/>
                <w:highlight w:val="none"/>
              </w:rPr>
              <w:t>名称</w:t>
            </w:r>
          </w:p>
        </w:tc>
        <w:tc>
          <w:tcPr>
            <w:tcW w:w="2909" w:type="dxa"/>
            <w:noWrap/>
            <w:vAlign w:val="center"/>
          </w:tcPr>
          <w:p w14:paraId="5FC83B9E">
            <w:pPr>
              <w:widowControl/>
              <w:spacing w:line="360" w:lineRule="auto"/>
              <w:jc w:val="center"/>
              <w:rPr>
                <w:b/>
                <w:bCs/>
                <w:color w:val="auto"/>
                <w:kern w:val="0"/>
                <w:szCs w:val="21"/>
                <w:highlight w:val="none"/>
              </w:rPr>
            </w:pPr>
            <w:r>
              <w:rPr>
                <w:b/>
                <w:bCs/>
                <w:color w:val="auto"/>
                <w:kern w:val="0"/>
                <w:szCs w:val="21"/>
                <w:highlight w:val="none"/>
              </w:rPr>
              <w:t>型号</w:t>
            </w:r>
          </w:p>
        </w:tc>
        <w:tc>
          <w:tcPr>
            <w:tcW w:w="2378" w:type="dxa"/>
            <w:noWrap/>
            <w:vAlign w:val="center"/>
          </w:tcPr>
          <w:p w14:paraId="58B4C16F">
            <w:pPr>
              <w:widowControl/>
              <w:spacing w:line="360" w:lineRule="auto"/>
              <w:jc w:val="center"/>
              <w:rPr>
                <w:b/>
                <w:bCs/>
                <w:color w:val="auto"/>
                <w:kern w:val="0"/>
                <w:szCs w:val="21"/>
                <w:highlight w:val="none"/>
              </w:rPr>
            </w:pPr>
            <w:r>
              <w:rPr>
                <w:b/>
                <w:bCs/>
                <w:color w:val="auto"/>
                <w:kern w:val="0"/>
                <w:szCs w:val="21"/>
                <w:highlight w:val="none"/>
              </w:rPr>
              <w:t>SN号</w:t>
            </w:r>
          </w:p>
        </w:tc>
      </w:tr>
      <w:tr w14:paraId="3FBBD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041" w:type="dxa"/>
            <w:noWrap/>
            <w:vAlign w:val="center"/>
          </w:tcPr>
          <w:p w14:paraId="2217F696">
            <w:pPr>
              <w:widowControl/>
              <w:spacing w:line="360" w:lineRule="auto"/>
              <w:jc w:val="center"/>
              <w:rPr>
                <w:color w:val="auto"/>
                <w:kern w:val="0"/>
                <w:szCs w:val="21"/>
                <w:highlight w:val="none"/>
              </w:rPr>
            </w:pPr>
            <w:r>
              <w:rPr>
                <w:color w:val="auto"/>
                <w:kern w:val="0"/>
                <w:szCs w:val="21"/>
                <w:highlight w:val="none"/>
              </w:rPr>
              <w:t>1</w:t>
            </w:r>
          </w:p>
        </w:tc>
        <w:tc>
          <w:tcPr>
            <w:tcW w:w="2728" w:type="dxa"/>
            <w:noWrap w:val="0"/>
            <w:vAlign w:val="center"/>
          </w:tcPr>
          <w:p w14:paraId="5BF7A657">
            <w:pPr>
              <w:widowControl/>
              <w:spacing w:line="360" w:lineRule="auto"/>
              <w:jc w:val="center"/>
              <w:rPr>
                <w:color w:val="auto"/>
                <w:kern w:val="0"/>
                <w:szCs w:val="21"/>
                <w:highlight w:val="none"/>
              </w:rPr>
            </w:pPr>
          </w:p>
        </w:tc>
        <w:tc>
          <w:tcPr>
            <w:tcW w:w="2909" w:type="dxa"/>
            <w:noWrap/>
            <w:vAlign w:val="center"/>
          </w:tcPr>
          <w:p w14:paraId="7923D515">
            <w:pPr>
              <w:widowControl/>
              <w:spacing w:line="360" w:lineRule="auto"/>
              <w:jc w:val="center"/>
              <w:textAlignment w:val="center"/>
              <w:rPr>
                <w:color w:val="auto"/>
                <w:szCs w:val="21"/>
                <w:highlight w:val="none"/>
              </w:rPr>
            </w:pPr>
          </w:p>
        </w:tc>
        <w:tc>
          <w:tcPr>
            <w:tcW w:w="2378" w:type="dxa"/>
            <w:noWrap w:val="0"/>
            <w:vAlign w:val="center"/>
          </w:tcPr>
          <w:p w14:paraId="4BC9D3F2">
            <w:pPr>
              <w:widowControl/>
              <w:spacing w:line="360" w:lineRule="auto"/>
              <w:jc w:val="center"/>
              <w:textAlignment w:val="center"/>
              <w:rPr>
                <w:color w:val="auto"/>
                <w:szCs w:val="21"/>
                <w:highlight w:val="none"/>
              </w:rPr>
            </w:pPr>
          </w:p>
        </w:tc>
      </w:tr>
      <w:tr w14:paraId="6A1A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3552A451">
            <w:pPr>
              <w:widowControl/>
              <w:spacing w:line="360" w:lineRule="auto"/>
              <w:jc w:val="center"/>
              <w:rPr>
                <w:color w:val="auto"/>
                <w:kern w:val="0"/>
                <w:szCs w:val="21"/>
                <w:highlight w:val="none"/>
              </w:rPr>
            </w:pPr>
            <w:r>
              <w:rPr>
                <w:color w:val="auto"/>
                <w:kern w:val="0"/>
                <w:szCs w:val="21"/>
                <w:highlight w:val="none"/>
              </w:rPr>
              <w:t>2</w:t>
            </w:r>
          </w:p>
        </w:tc>
        <w:tc>
          <w:tcPr>
            <w:tcW w:w="2728" w:type="dxa"/>
            <w:noWrap w:val="0"/>
            <w:vAlign w:val="center"/>
          </w:tcPr>
          <w:p w14:paraId="76D9E9BE">
            <w:pPr>
              <w:widowControl/>
              <w:spacing w:line="360" w:lineRule="auto"/>
              <w:jc w:val="center"/>
              <w:rPr>
                <w:color w:val="auto"/>
                <w:kern w:val="0"/>
                <w:szCs w:val="21"/>
                <w:highlight w:val="none"/>
              </w:rPr>
            </w:pPr>
          </w:p>
        </w:tc>
        <w:tc>
          <w:tcPr>
            <w:tcW w:w="2909" w:type="dxa"/>
            <w:noWrap/>
            <w:vAlign w:val="center"/>
          </w:tcPr>
          <w:p w14:paraId="107FFA4B">
            <w:pPr>
              <w:widowControl/>
              <w:spacing w:line="360" w:lineRule="auto"/>
              <w:jc w:val="center"/>
              <w:textAlignment w:val="center"/>
              <w:rPr>
                <w:color w:val="auto"/>
                <w:szCs w:val="21"/>
                <w:highlight w:val="none"/>
              </w:rPr>
            </w:pPr>
          </w:p>
        </w:tc>
        <w:tc>
          <w:tcPr>
            <w:tcW w:w="2378" w:type="dxa"/>
            <w:noWrap w:val="0"/>
            <w:vAlign w:val="center"/>
          </w:tcPr>
          <w:p w14:paraId="79D26331">
            <w:pPr>
              <w:widowControl/>
              <w:spacing w:line="360" w:lineRule="auto"/>
              <w:jc w:val="center"/>
              <w:textAlignment w:val="center"/>
              <w:rPr>
                <w:color w:val="auto"/>
                <w:szCs w:val="21"/>
                <w:highlight w:val="none"/>
              </w:rPr>
            </w:pPr>
          </w:p>
        </w:tc>
      </w:tr>
      <w:tr w14:paraId="2D16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2132C43E">
            <w:pPr>
              <w:widowControl/>
              <w:spacing w:line="360" w:lineRule="auto"/>
              <w:jc w:val="center"/>
              <w:rPr>
                <w:color w:val="auto"/>
                <w:kern w:val="0"/>
                <w:szCs w:val="21"/>
                <w:highlight w:val="none"/>
              </w:rPr>
            </w:pPr>
            <w:r>
              <w:rPr>
                <w:color w:val="auto"/>
                <w:kern w:val="0"/>
                <w:szCs w:val="21"/>
                <w:highlight w:val="none"/>
              </w:rPr>
              <w:t>3</w:t>
            </w:r>
          </w:p>
        </w:tc>
        <w:tc>
          <w:tcPr>
            <w:tcW w:w="2728" w:type="dxa"/>
            <w:noWrap w:val="0"/>
            <w:vAlign w:val="center"/>
          </w:tcPr>
          <w:p w14:paraId="1361B386">
            <w:pPr>
              <w:widowControl/>
              <w:spacing w:line="360" w:lineRule="auto"/>
              <w:jc w:val="center"/>
              <w:rPr>
                <w:color w:val="auto"/>
                <w:kern w:val="0"/>
                <w:szCs w:val="21"/>
                <w:highlight w:val="none"/>
              </w:rPr>
            </w:pPr>
          </w:p>
        </w:tc>
        <w:tc>
          <w:tcPr>
            <w:tcW w:w="2909" w:type="dxa"/>
            <w:noWrap/>
            <w:vAlign w:val="center"/>
          </w:tcPr>
          <w:p w14:paraId="0E89F716">
            <w:pPr>
              <w:widowControl/>
              <w:spacing w:line="360" w:lineRule="auto"/>
              <w:jc w:val="center"/>
              <w:textAlignment w:val="center"/>
              <w:rPr>
                <w:color w:val="auto"/>
                <w:szCs w:val="21"/>
                <w:highlight w:val="none"/>
              </w:rPr>
            </w:pPr>
          </w:p>
        </w:tc>
        <w:tc>
          <w:tcPr>
            <w:tcW w:w="2378" w:type="dxa"/>
            <w:noWrap w:val="0"/>
            <w:vAlign w:val="center"/>
          </w:tcPr>
          <w:p w14:paraId="41B8A1AA">
            <w:pPr>
              <w:widowControl/>
              <w:spacing w:line="360" w:lineRule="auto"/>
              <w:jc w:val="center"/>
              <w:textAlignment w:val="center"/>
              <w:rPr>
                <w:color w:val="auto"/>
                <w:szCs w:val="21"/>
                <w:highlight w:val="none"/>
              </w:rPr>
            </w:pPr>
          </w:p>
        </w:tc>
      </w:tr>
    </w:tbl>
    <w:p w14:paraId="4C5E34C8">
      <w:pPr>
        <w:rPr>
          <w:color w:val="auto"/>
          <w:szCs w:val="21"/>
          <w:highlight w:val="none"/>
        </w:rPr>
      </w:pPr>
    </w:p>
    <w:p w14:paraId="0434D705">
      <w:pPr>
        <w:rPr>
          <w:color w:val="auto"/>
          <w:szCs w:val="21"/>
          <w:highlight w:val="none"/>
        </w:rPr>
      </w:pPr>
    </w:p>
    <w:p w14:paraId="44836EA8">
      <w:pPr>
        <w:rPr>
          <w:color w:val="auto"/>
          <w:szCs w:val="21"/>
          <w:highlight w:val="none"/>
        </w:rPr>
      </w:pPr>
    </w:p>
    <w:p w14:paraId="7BDF1831">
      <w:pPr>
        <w:rPr>
          <w:color w:val="auto"/>
          <w:szCs w:val="21"/>
          <w:highlight w:val="none"/>
        </w:rPr>
      </w:pPr>
    </w:p>
    <w:p w14:paraId="50B98D87">
      <w:pPr>
        <w:rPr>
          <w:color w:val="auto"/>
          <w:szCs w:val="21"/>
          <w:highlight w:val="none"/>
        </w:rPr>
      </w:pPr>
    </w:p>
    <w:p w14:paraId="0AD665A4">
      <w:pPr>
        <w:rPr>
          <w:color w:val="auto"/>
          <w:szCs w:val="21"/>
          <w:highlight w:val="none"/>
        </w:rPr>
      </w:pPr>
    </w:p>
    <w:p w14:paraId="6C9814C3">
      <w:pPr>
        <w:rPr>
          <w:color w:val="auto"/>
          <w:szCs w:val="21"/>
          <w:highlight w:val="none"/>
        </w:rPr>
      </w:pPr>
    </w:p>
    <w:p w14:paraId="6F69412D">
      <w:pPr>
        <w:rPr>
          <w:color w:val="auto"/>
          <w:szCs w:val="21"/>
          <w:highlight w:val="none"/>
        </w:rPr>
      </w:pPr>
    </w:p>
    <w:p w14:paraId="1234B5C5">
      <w:pPr>
        <w:rPr>
          <w:color w:val="auto"/>
          <w:szCs w:val="21"/>
          <w:highlight w:val="none"/>
        </w:rPr>
      </w:pPr>
    </w:p>
    <w:p w14:paraId="166951F6">
      <w:pPr>
        <w:pStyle w:val="16"/>
        <w:rPr>
          <w:color w:val="auto"/>
          <w:szCs w:val="21"/>
          <w:highlight w:val="none"/>
        </w:rPr>
      </w:pPr>
    </w:p>
    <w:p w14:paraId="30F6FF38">
      <w:pPr>
        <w:pStyle w:val="16"/>
        <w:rPr>
          <w:color w:val="auto"/>
          <w:szCs w:val="21"/>
          <w:highlight w:val="none"/>
        </w:rPr>
      </w:pPr>
    </w:p>
    <w:p w14:paraId="2E633919">
      <w:pPr>
        <w:pStyle w:val="16"/>
        <w:rPr>
          <w:color w:val="auto"/>
          <w:szCs w:val="21"/>
          <w:highlight w:val="none"/>
        </w:rPr>
      </w:pPr>
    </w:p>
    <w:p w14:paraId="4DFCA923">
      <w:pPr>
        <w:pStyle w:val="16"/>
        <w:rPr>
          <w:color w:val="auto"/>
          <w:szCs w:val="21"/>
          <w:highlight w:val="none"/>
        </w:rPr>
      </w:pPr>
    </w:p>
    <w:p w14:paraId="598E0DB6">
      <w:pPr>
        <w:pStyle w:val="16"/>
        <w:rPr>
          <w:color w:val="auto"/>
          <w:szCs w:val="21"/>
          <w:highlight w:val="none"/>
        </w:rPr>
      </w:pPr>
    </w:p>
    <w:p w14:paraId="4406E639">
      <w:pPr>
        <w:pStyle w:val="16"/>
        <w:rPr>
          <w:color w:val="auto"/>
          <w:szCs w:val="21"/>
          <w:highlight w:val="none"/>
        </w:rPr>
      </w:pPr>
    </w:p>
    <w:p w14:paraId="265CA23B">
      <w:pPr>
        <w:pStyle w:val="16"/>
        <w:rPr>
          <w:color w:val="auto"/>
          <w:szCs w:val="21"/>
          <w:highlight w:val="none"/>
        </w:rPr>
      </w:pPr>
    </w:p>
    <w:p w14:paraId="07F2DBEB">
      <w:pPr>
        <w:pStyle w:val="16"/>
        <w:rPr>
          <w:color w:val="auto"/>
          <w:szCs w:val="21"/>
          <w:highlight w:val="none"/>
        </w:rPr>
      </w:pPr>
    </w:p>
    <w:p w14:paraId="2B863A94">
      <w:pPr>
        <w:pStyle w:val="16"/>
        <w:rPr>
          <w:color w:val="auto"/>
          <w:szCs w:val="21"/>
          <w:highlight w:val="none"/>
        </w:rPr>
      </w:pPr>
    </w:p>
    <w:p w14:paraId="2BEC5900">
      <w:pPr>
        <w:pStyle w:val="16"/>
        <w:rPr>
          <w:color w:val="auto"/>
          <w:szCs w:val="21"/>
          <w:highlight w:val="none"/>
        </w:rPr>
      </w:pPr>
    </w:p>
    <w:p w14:paraId="6EA1B46A">
      <w:pPr>
        <w:pStyle w:val="16"/>
        <w:rPr>
          <w:color w:val="auto"/>
          <w:szCs w:val="21"/>
          <w:highlight w:val="none"/>
        </w:rPr>
      </w:pPr>
    </w:p>
    <w:p w14:paraId="173BD0CA">
      <w:pPr>
        <w:pStyle w:val="16"/>
        <w:rPr>
          <w:color w:val="auto"/>
          <w:szCs w:val="21"/>
          <w:highlight w:val="none"/>
        </w:rPr>
      </w:pPr>
    </w:p>
    <w:p w14:paraId="7316493E">
      <w:pPr>
        <w:pStyle w:val="16"/>
        <w:rPr>
          <w:color w:val="auto"/>
          <w:szCs w:val="21"/>
          <w:highlight w:val="none"/>
        </w:rPr>
      </w:pPr>
    </w:p>
    <w:p w14:paraId="22041301">
      <w:pPr>
        <w:pStyle w:val="16"/>
        <w:rPr>
          <w:color w:val="auto"/>
          <w:szCs w:val="21"/>
          <w:highlight w:val="none"/>
        </w:rPr>
      </w:pPr>
    </w:p>
    <w:p w14:paraId="582AEAB5">
      <w:pPr>
        <w:pStyle w:val="16"/>
        <w:rPr>
          <w:color w:val="auto"/>
          <w:szCs w:val="21"/>
          <w:highlight w:val="none"/>
        </w:rPr>
      </w:pPr>
    </w:p>
    <w:p w14:paraId="689C759C">
      <w:pPr>
        <w:pStyle w:val="16"/>
        <w:rPr>
          <w:color w:val="auto"/>
          <w:szCs w:val="21"/>
          <w:highlight w:val="none"/>
        </w:rPr>
      </w:pPr>
    </w:p>
    <w:p w14:paraId="255162E4">
      <w:pPr>
        <w:pStyle w:val="16"/>
        <w:rPr>
          <w:color w:val="auto"/>
          <w:szCs w:val="21"/>
          <w:highlight w:val="none"/>
        </w:rPr>
      </w:pPr>
    </w:p>
    <w:p w14:paraId="78767B39">
      <w:pPr>
        <w:pStyle w:val="16"/>
        <w:rPr>
          <w:color w:val="auto"/>
          <w:szCs w:val="21"/>
          <w:highlight w:val="none"/>
        </w:rPr>
      </w:pPr>
    </w:p>
    <w:p w14:paraId="639840E9">
      <w:pPr>
        <w:pStyle w:val="16"/>
        <w:rPr>
          <w:color w:val="auto"/>
          <w:szCs w:val="21"/>
          <w:highlight w:val="none"/>
        </w:rPr>
      </w:pPr>
    </w:p>
    <w:p w14:paraId="0A4EFB26">
      <w:pPr>
        <w:pStyle w:val="16"/>
        <w:rPr>
          <w:color w:val="auto"/>
          <w:szCs w:val="21"/>
          <w:highlight w:val="none"/>
        </w:rPr>
      </w:pPr>
    </w:p>
    <w:p w14:paraId="6B321C66">
      <w:pPr>
        <w:pStyle w:val="16"/>
        <w:rPr>
          <w:color w:val="auto"/>
          <w:szCs w:val="21"/>
          <w:highlight w:val="none"/>
        </w:rPr>
      </w:pPr>
    </w:p>
    <w:p w14:paraId="555AD184">
      <w:pPr>
        <w:pStyle w:val="16"/>
        <w:rPr>
          <w:color w:val="auto"/>
          <w:szCs w:val="21"/>
          <w:highlight w:val="none"/>
        </w:rPr>
      </w:pPr>
    </w:p>
    <w:p w14:paraId="4F76A31B">
      <w:pPr>
        <w:pStyle w:val="16"/>
        <w:rPr>
          <w:color w:val="auto"/>
          <w:szCs w:val="21"/>
          <w:highlight w:val="none"/>
        </w:rPr>
      </w:pPr>
    </w:p>
    <w:p w14:paraId="470DB497">
      <w:pPr>
        <w:rPr>
          <w:color w:val="auto"/>
          <w:szCs w:val="21"/>
          <w:highlight w:val="none"/>
        </w:rPr>
      </w:pPr>
    </w:p>
    <w:p w14:paraId="4DDA28FB">
      <w:pPr>
        <w:rPr>
          <w:color w:val="auto"/>
          <w:szCs w:val="21"/>
          <w:highlight w:val="none"/>
        </w:rPr>
      </w:pPr>
    </w:p>
    <w:p w14:paraId="5B5D8537">
      <w:pPr>
        <w:jc w:val="both"/>
        <w:rPr>
          <w:rFonts w:hint="eastAsia"/>
          <w:b/>
          <w:color w:val="auto"/>
          <w:sz w:val="44"/>
          <w:szCs w:val="44"/>
          <w:highlight w:val="none"/>
          <w:lang w:eastAsia="zh-CN"/>
        </w:rPr>
      </w:pPr>
      <w:r>
        <w:rPr>
          <w:color w:val="auto"/>
          <w:highlight w:val="none"/>
        </w:rPr>
        <w:t>附</w:t>
      </w:r>
      <w:r>
        <w:rPr>
          <w:rFonts w:hint="eastAsia"/>
          <w:color w:val="auto"/>
          <w:highlight w:val="none"/>
          <w:lang w:val="en-US" w:eastAsia="zh-CN"/>
        </w:rPr>
        <w:t>件二</w:t>
      </w:r>
      <w:r>
        <w:rPr>
          <w:rFonts w:hint="eastAsia"/>
          <w:color w:val="auto"/>
          <w:highlight w:val="none"/>
        </w:rPr>
        <w:t>：</w:t>
      </w:r>
    </w:p>
    <w:p w14:paraId="18D21C4A">
      <w:pPr>
        <w:ind w:firstLine="883" w:firstLineChars="200"/>
        <w:jc w:val="both"/>
        <w:rPr>
          <w:b/>
          <w:color w:val="auto"/>
          <w:sz w:val="44"/>
          <w:szCs w:val="44"/>
          <w:highlight w:val="none"/>
          <w:lang w:eastAsia="zh-CN"/>
        </w:rPr>
      </w:pPr>
      <w:r>
        <w:rPr>
          <w:rFonts w:hint="eastAsia"/>
          <w:b/>
          <w:color w:val="auto"/>
          <w:sz w:val="44"/>
          <w:szCs w:val="44"/>
          <w:highlight w:val="none"/>
          <w:lang w:eastAsia="zh-CN"/>
        </w:rPr>
        <w:t>医疗卫生机构医药产品廉洁购销合约</w:t>
      </w:r>
    </w:p>
    <w:p w14:paraId="41013648">
      <w:pPr>
        <w:pStyle w:val="31"/>
        <w:shd w:val="clear" w:color="auto" w:fill="FFFFFF"/>
        <w:spacing w:before="0" w:beforeAutospacing="0" w:after="0" w:afterAutospacing="0" w:line="293" w:lineRule="atLeast"/>
        <w:rPr>
          <w:rFonts w:hint="eastAsia" w:ascii="仿宋_GB2312" w:eastAsia="仿宋_GB2312"/>
          <w:b/>
          <w:color w:val="auto"/>
          <w:kern w:val="2"/>
          <w:sz w:val="44"/>
          <w:szCs w:val="44"/>
          <w:highlight w:val="none"/>
        </w:rPr>
      </w:pPr>
    </w:p>
    <w:p w14:paraId="1926F206">
      <w:pPr>
        <w:rPr>
          <w:rFonts w:hint="eastAsia"/>
          <w:color w:val="auto"/>
          <w:kern w:val="2"/>
          <w:highlight w:val="none"/>
        </w:rPr>
      </w:pPr>
      <w:r>
        <w:rPr>
          <w:color w:val="auto"/>
          <w:kern w:val="2"/>
          <w:sz w:val="24"/>
          <w:szCs w:val="24"/>
          <w:highlight w:val="none"/>
        </w:rPr>
        <w:t>甲方</w:t>
      </w:r>
      <w:r>
        <w:rPr>
          <w:color w:val="auto"/>
          <w:kern w:val="2"/>
          <w:highlight w:val="none"/>
        </w:rPr>
        <w:t>：</w:t>
      </w:r>
      <w:r>
        <w:rPr>
          <w:rFonts w:hint="eastAsia"/>
          <w:color w:val="auto"/>
          <w:kern w:val="2"/>
          <w:highlight w:val="none"/>
        </w:rPr>
        <w:t>南京市第一医院</w:t>
      </w:r>
      <w:r>
        <w:rPr>
          <w:color w:val="auto"/>
          <w:kern w:val="2"/>
          <w:highlight w:val="none"/>
        </w:rPr>
        <w:tab/>
      </w:r>
    </w:p>
    <w:p w14:paraId="0D9AD69C">
      <w:pPr>
        <w:rPr>
          <w:rFonts w:hint="eastAsia"/>
          <w:color w:val="auto"/>
          <w:sz w:val="24"/>
          <w:szCs w:val="24"/>
          <w:highlight w:val="none"/>
        </w:rPr>
      </w:pPr>
      <w:r>
        <w:rPr>
          <w:color w:val="auto"/>
          <w:sz w:val="24"/>
          <w:szCs w:val="24"/>
          <w:highlight w:val="none"/>
        </w:rPr>
        <w:t>乙方</w:t>
      </w:r>
      <w:r>
        <w:rPr>
          <w:rFonts w:hint="eastAsia"/>
          <w:color w:val="auto"/>
          <w:sz w:val="24"/>
          <w:szCs w:val="24"/>
          <w:highlight w:val="none"/>
        </w:rPr>
        <w:t xml:space="preserve">： </w:t>
      </w:r>
    </w:p>
    <w:p w14:paraId="1B84D336">
      <w:pPr>
        <w:rPr>
          <w:rFonts w:hint="eastAsia"/>
          <w:color w:val="auto"/>
          <w:sz w:val="24"/>
          <w:szCs w:val="24"/>
          <w:highlight w:val="none"/>
          <w:lang w:eastAsia="zh-CN"/>
        </w:rPr>
      </w:pPr>
      <w:r>
        <w:rPr>
          <w:rFonts w:hint="eastAsia"/>
          <w:color w:val="auto"/>
          <w:position w:val="1"/>
          <w:highlight w:val="none"/>
          <w:lang w:eastAsia="zh-CN"/>
        </w:rPr>
        <w:t xml:space="preserve"> </w:t>
      </w:r>
      <w:r>
        <w:rPr>
          <w:rFonts w:hint="eastAsia"/>
          <w:color w:val="auto"/>
          <w:position w:val="1"/>
          <w:sz w:val="24"/>
          <w:szCs w:val="24"/>
          <w:highlight w:val="none"/>
          <w:lang w:eastAsia="zh-CN"/>
        </w:rPr>
        <w:t xml:space="preserve"> 为</w:t>
      </w:r>
      <w:r>
        <w:rPr>
          <w:rFonts w:hint="eastAsia"/>
          <w:color w:val="auto"/>
          <w:sz w:val="24"/>
          <w:szCs w:val="24"/>
          <w:highlight w:val="none"/>
          <w:lang w:eastAsia="zh-CN"/>
        </w:rPr>
        <w:t>进一步加强医疗卫生行风建设，规范医疗卫生机构医药购销行为，有效防范商业贿赂行</w:t>
      </w:r>
    </w:p>
    <w:p w14:paraId="3B174939">
      <w:pPr>
        <w:ind w:firstLine="0"/>
        <w:rPr>
          <w:rFonts w:hint="eastAsia"/>
          <w:color w:val="auto"/>
          <w:position w:val="1"/>
          <w:highlight w:val="none"/>
          <w:lang w:eastAsia="zh-CN"/>
        </w:rPr>
      </w:pPr>
      <w:r>
        <w:rPr>
          <w:rFonts w:hint="eastAsia"/>
          <w:color w:val="auto"/>
          <w:sz w:val="24"/>
          <w:szCs w:val="24"/>
          <w:highlight w:val="none"/>
          <w:lang w:eastAsia="zh-CN"/>
        </w:rPr>
        <w:t>营造公平交易、诚实守信的购销环境，经甲、乙双方协商，同意签订本合约，并共同遵守</w:t>
      </w:r>
      <w:r>
        <w:rPr>
          <w:rFonts w:hint="eastAsia"/>
          <w:color w:val="auto"/>
          <w:highlight w:val="none"/>
          <w:lang w:eastAsia="zh-CN"/>
        </w:rPr>
        <w:t>：</w:t>
      </w:r>
    </w:p>
    <w:p w14:paraId="7535D61C">
      <w:pPr>
        <w:rPr>
          <w:rFonts w:hint="eastAsia"/>
          <w:color w:val="auto"/>
          <w:sz w:val="24"/>
          <w:szCs w:val="24"/>
          <w:highlight w:val="none"/>
        </w:rPr>
      </w:pPr>
      <w:r>
        <w:rPr>
          <w:rFonts w:hint="eastAsia"/>
          <w:color w:val="auto"/>
          <w:sz w:val="24"/>
          <w:szCs w:val="24"/>
          <w:highlight w:val="none"/>
        </w:rPr>
        <w:t>一、甲乙双方按照《中华人民共和国民法典》及医药产品购销合同约定购销药品、医用设备、医用耗材等医药产品。</w:t>
      </w:r>
    </w:p>
    <w:p w14:paraId="3FA70E56">
      <w:pPr>
        <w:rPr>
          <w:rFonts w:hint="eastAsia"/>
          <w:color w:val="auto"/>
          <w:sz w:val="24"/>
          <w:szCs w:val="24"/>
          <w:highlight w:val="none"/>
        </w:rPr>
      </w:pPr>
      <w:r>
        <w:rPr>
          <w:rFonts w:hint="eastAsia"/>
          <w:color w:val="auto"/>
          <w:sz w:val="24"/>
          <w:szCs w:val="24"/>
          <w:highlight w:val="none"/>
        </w:rPr>
        <w:t xml:space="preserve">二、甲方应当严格执行医药产品购销合同验收、入库制度，对采购医药产品及发票进行查验，不得违反有关规定合同外采购、违价采购或从非规定渠道采购。 </w:t>
      </w:r>
    </w:p>
    <w:p w14:paraId="721704D8">
      <w:pPr>
        <w:rPr>
          <w:rFonts w:hint="eastAsia"/>
          <w:color w:val="auto"/>
          <w:sz w:val="24"/>
          <w:szCs w:val="24"/>
          <w:highlight w:val="none"/>
        </w:rPr>
      </w:pPr>
      <w:r>
        <w:rPr>
          <w:rFonts w:hint="eastAsia"/>
          <w:color w:val="auto"/>
          <w:sz w:val="24"/>
          <w:szCs w:val="24"/>
          <w:highlight w:val="none"/>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701E497A">
      <w:pPr>
        <w:rPr>
          <w:rFonts w:hint="eastAsia"/>
          <w:color w:val="auto"/>
          <w:sz w:val="24"/>
          <w:szCs w:val="24"/>
          <w:highlight w:val="none"/>
        </w:rPr>
      </w:pPr>
      <w:r>
        <w:rPr>
          <w:rFonts w:hint="eastAsia"/>
          <w:color w:val="auto"/>
          <w:sz w:val="24"/>
          <w:szCs w:val="24"/>
          <w:highlight w:val="none"/>
        </w:rPr>
        <w:t>四、严禁甲方工作人员利用任何途径和方式，为乙方统计医师个人及临床科室有关医药产品用量信息，或为乙方统计提供便利。</w:t>
      </w:r>
    </w:p>
    <w:p w14:paraId="726AB37E">
      <w:pPr>
        <w:rPr>
          <w:color w:val="auto"/>
          <w:sz w:val="24"/>
          <w:szCs w:val="24"/>
          <w:highlight w:val="none"/>
        </w:rPr>
      </w:pPr>
      <w:r>
        <w:rPr>
          <w:rFonts w:hint="eastAsia"/>
          <w:color w:val="auto"/>
          <w:sz w:val="24"/>
          <w:szCs w:val="24"/>
          <w:highlight w:val="none"/>
        </w:rPr>
        <w:t>五、乙方不得以回扣、宴请等方式影响甲方工作人员采购或使用医药产品的选择权，不得在学术活动中提供旅游、超标准支付食宿费用。</w:t>
      </w:r>
    </w:p>
    <w:p w14:paraId="5ED8270D">
      <w:pPr>
        <w:rPr>
          <w:rFonts w:hint="eastAsia"/>
          <w:color w:val="auto"/>
          <w:sz w:val="24"/>
          <w:szCs w:val="24"/>
          <w:highlight w:val="none"/>
        </w:rPr>
      </w:pPr>
      <w:r>
        <w:rPr>
          <w:rFonts w:hint="eastAsia"/>
          <w:color w:val="auto"/>
          <w:sz w:val="24"/>
          <w:szCs w:val="24"/>
          <w:highlight w:val="none"/>
        </w:rPr>
        <w:t xml:space="preserve">六、乙方指定 </w:t>
      </w:r>
      <w:r>
        <w:rPr>
          <w:rFonts w:hint="eastAsia"/>
          <w:color w:val="auto"/>
          <w:sz w:val="24"/>
          <w:szCs w:val="24"/>
          <w:highlight w:val="none"/>
          <w:u w:val="single"/>
        </w:rPr>
        <w:t xml:space="preserve">              </w:t>
      </w:r>
      <w:r>
        <w:rPr>
          <w:rFonts w:hint="eastAsia"/>
          <w:color w:val="auto"/>
          <w:sz w:val="24"/>
          <w:szCs w:val="24"/>
          <w:highlight w:val="none"/>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672B3467">
      <w:pPr>
        <w:rPr>
          <w:color w:val="auto"/>
          <w:sz w:val="24"/>
          <w:szCs w:val="24"/>
          <w:highlight w:val="none"/>
        </w:rPr>
      </w:pPr>
      <w:r>
        <w:rPr>
          <w:rFonts w:hint="eastAsia"/>
          <w:color w:val="auto"/>
          <w:sz w:val="24"/>
          <w:szCs w:val="24"/>
          <w:highlight w:val="none"/>
        </w:rPr>
        <w:t>七、乙方如违反本合约，一经发现，甲方有权终止购销合同，并向有关卫生计生行政部门报告。如乙方被列入商业贿赂不良记录，则严格按照《国家</w:t>
      </w:r>
      <w:r>
        <w:rPr>
          <w:color w:val="auto"/>
          <w:sz w:val="24"/>
          <w:szCs w:val="24"/>
          <w:highlight w:val="none"/>
        </w:rPr>
        <w:t>卫生计生委关于建立医药购销领域商业贿赂不良记录的规定</w:t>
      </w:r>
      <w:r>
        <w:rPr>
          <w:rFonts w:hint="eastAsia"/>
          <w:color w:val="auto"/>
          <w:sz w:val="24"/>
          <w:szCs w:val="24"/>
          <w:highlight w:val="none"/>
        </w:rPr>
        <w:t>》</w:t>
      </w:r>
      <w:r>
        <w:rPr>
          <w:color w:val="auto"/>
          <w:sz w:val="24"/>
          <w:szCs w:val="24"/>
          <w:highlight w:val="none"/>
        </w:rPr>
        <w:t>（国卫法制发〔2013〕50号）</w:t>
      </w:r>
      <w:r>
        <w:rPr>
          <w:rFonts w:hint="eastAsia"/>
          <w:color w:val="auto"/>
          <w:sz w:val="24"/>
          <w:szCs w:val="24"/>
          <w:highlight w:val="none"/>
        </w:rPr>
        <w:t>相关规定处理。</w:t>
      </w:r>
    </w:p>
    <w:p w14:paraId="682574E1">
      <w:pPr>
        <w:rPr>
          <w:color w:val="auto"/>
          <w:sz w:val="24"/>
          <w:szCs w:val="24"/>
          <w:highlight w:val="none"/>
        </w:rPr>
      </w:pPr>
      <w:r>
        <w:rPr>
          <w:rFonts w:hint="eastAsia"/>
          <w:color w:val="auto"/>
          <w:sz w:val="24"/>
          <w:szCs w:val="24"/>
          <w:highlight w:val="none"/>
        </w:rPr>
        <w:t>八、本合约作为医药产品购销合同的重要组成部分，与购销合同一并执行，具有同等的法律效力。</w:t>
      </w:r>
    </w:p>
    <w:p w14:paraId="2B9E905A">
      <w:pPr>
        <w:rPr>
          <w:color w:val="auto"/>
          <w:sz w:val="24"/>
          <w:szCs w:val="24"/>
          <w:highlight w:val="none"/>
        </w:rPr>
      </w:pPr>
      <w:r>
        <w:rPr>
          <w:rFonts w:hint="eastAsia"/>
          <w:color w:val="auto"/>
          <w:sz w:val="24"/>
          <w:szCs w:val="24"/>
          <w:highlight w:val="none"/>
        </w:rPr>
        <w:t>九、本合约一式三份，甲、乙双方各执一份，甲方纪检监察部门执一份，并从签订之日起生效。</w:t>
      </w:r>
    </w:p>
    <w:p w14:paraId="6C6D46BB">
      <w:pPr>
        <w:rPr>
          <w:color w:val="auto"/>
          <w:sz w:val="24"/>
          <w:szCs w:val="24"/>
          <w:highlight w:val="none"/>
        </w:rPr>
      </w:pPr>
    </w:p>
    <w:p w14:paraId="4B464A57">
      <w:pPr>
        <w:rPr>
          <w:rFonts w:hint="eastAsia"/>
          <w:color w:val="auto"/>
          <w:sz w:val="24"/>
          <w:szCs w:val="24"/>
          <w:highlight w:val="none"/>
          <w:lang w:eastAsia="zh-CN"/>
        </w:rPr>
      </w:pPr>
    </w:p>
    <w:p w14:paraId="40A5E555">
      <w:pPr>
        <w:rPr>
          <w:rFonts w:hint="eastAsia"/>
          <w:color w:val="auto"/>
          <w:sz w:val="24"/>
          <w:szCs w:val="24"/>
          <w:highlight w:val="none"/>
          <w:lang w:eastAsia="zh-CN"/>
        </w:rPr>
      </w:pPr>
    </w:p>
    <w:p w14:paraId="303A0642">
      <w:pPr>
        <w:rPr>
          <w:color w:val="auto"/>
          <w:sz w:val="24"/>
          <w:szCs w:val="24"/>
          <w:highlight w:val="none"/>
          <w:lang w:eastAsia="zh-CN"/>
        </w:rPr>
      </w:pPr>
      <w:r>
        <w:rPr>
          <w:rFonts w:hint="eastAsia"/>
          <w:color w:val="auto"/>
          <w:sz w:val="24"/>
          <w:szCs w:val="24"/>
          <w:highlight w:val="none"/>
          <w:lang w:eastAsia="zh-CN"/>
        </w:rPr>
        <w:t xml:space="preserve">甲方：南京市第一医院                              乙方： </w:t>
      </w:r>
    </w:p>
    <w:p w14:paraId="73D2C603">
      <w:pPr>
        <w:rPr>
          <w:rFonts w:hint="eastAsia"/>
          <w:color w:val="auto"/>
          <w:sz w:val="24"/>
          <w:szCs w:val="24"/>
          <w:highlight w:val="none"/>
          <w:lang w:eastAsia="zh-CN"/>
        </w:rPr>
      </w:pPr>
      <w:r>
        <w:rPr>
          <w:rFonts w:hint="eastAsia"/>
          <w:color w:val="auto"/>
          <w:sz w:val="24"/>
          <w:szCs w:val="24"/>
          <w:highlight w:val="none"/>
          <w:lang w:eastAsia="zh-CN"/>
        </w:rPr>
        <w:t>法定代表人（负责人）：                             法定代表人（负责人）：</w:t>
      </w:r>
    </w:p>
    <w:p w14:paraId="315CF08C">
      <w:pPr>
        <w:rPr>
          <w:rFonts w:hint="eastAsia"/>
          <w:color w:val="auto"/>
          <w:sz w:val="24"/>
          <w:szCs w:val="24"/>
          <w:highlight w:val="none"/>
          <w:lang w:eastAsia="zh-CN"/>
        </w:rPr>
      </w:pPr>
      <w:r>
        <w:rPr>
          <w:rFonts w:hint="eastAsia"/>
          <w:color w:val="auto"/>
          <w:sz w:val="24"/>
          <w:szCs w:val="24"/>
          <w:highlight w:val="none"/>
          <w:lang w:eastAsia="zh-CN"/>
        </w:rPr>
        <w:t>经办人：</w:t>
      </w:r>
      <w:r>
        <w:rPr>
          <w:rFonts w:hint="eastAsia"/>
          <w:color w:val="auto"/>
          <w:sz w:val="24"/>
          <w:szCs w:val="24"/>
          <w:highlight w:val="none"/>
          <w:lang w:val="en-US" w:eastAsia="zh-CN"/>
        </w:rPr>
        <w:t>胡莹</w:t>
      </w:r>
      <w:r>
        <w:rPr>
          <w:rFonts w:hint="eastAsia"/>
          <w:color w:val="auto"/>
          <w:sz w:val="24"/>
          <w:szCs w:val="24"/>
          <w:highlight w:val="none"/>
          <w:lang w:eastAsia="zh-CN"/>
        </w:rPr>
        <w:t xml:space="preserve">                                    </w:t>
      </w:r>
      <w:r>
        <w:rPr>
          <w:rFonts w:hint="eastAsia"/>
          <w:color w:val="auto"/>
          <w:sz w:val="24"/>
          <w:szCs w:val="24"/>
          <w:highlight w:val="none"/>
          <w:lang w:val="en-US" w:eastAsia="zh-CN"/>
        </w:rPr>
        <w:t xml:space="preserve">  </w:t>
      </w:r>
      <w:r>
        <w:rPr>
          <w:rFonts w:hint="eastAsia"/>
          <w:color w:val="auto"/>
          <w:sz w:val="24"/>
          <w:szCs w:val="24"/>
          <w:highlight w:val="none"/>
          <w:lang w:eastAsia="zh-CN"/>
        </w:rPr>
        <w:t>经办人：</w:t>
      </w:r>
    </w:p>
    <w:p w14:paraId="713F8847">
      <w:pPr>
        <w:rPr>
          <w:rFonts w:hint="eastAsia"/>
          <w:color w:val="auto"/>
          <w:sz w:val="24"/>
          <w:szCs w:val="24"/>
          <w:highlight w:val="none"/>
        </w:rPr>
      </w:pPr>
      <w:r>
        <w:rPr>
          <w:rFonts w:hint="eastAsia"/>
          <w:color w:val="auto"/>
          <w:sz w:val="24"/>
          <w:szCs w:val="24"/>
          <w:highlight w:val="none"/>
        </w:rPr>
        <w:t>年    月    日                                    年    月    日</w:t>
      </w:r>
    </w:p>
    <w:p w14:paraId="1E75ADCF">
      <w:pPr>
        <w:rPr>
          <w:rFonts w:hint="eastAsia"/>
          <w:color w:val="auto"/>
          <w:sz w:val="21"/>
          <w:szCs w:val="21"/>
          <w:highlight w:val="none"/>
          <w:lang w:eastAsia="zh-CN"/>
        </w:rPr>
      </w:pPr>
    </w:p>
    <w:p w14:paraId="444FF620">
      <w:pPr>
        <w:rPr>
          <w:color w:val="auto"/>
          <w:szCs w:val="21"/>
          <w:highlight w:val="none"/>
        </w:rPr>
      </w:pPr>
    </w:p>
    <w:p w14:paraId="632E2F63">
      <w:pPr>
        <w:rPr>
          <w:color w:val="auto"/>
          <w:szCs w:val="21"/>
          <w:highlight w:val="none"/>
        </w:rPr>
      </w:pPr>
    </w:p>
    <w:p w14:paraId="64E27DE6">
      <w:pPr>
        <w:rPr>
          <w:color w:val="auto"/>
          <w:szCs w:val="21"/>
          <w:highlight w:val="none"/>
        </w:rPr>
      </w:pPr>
    </w:p>
    <w:p w14:paraId="2F8C4D51">
      <w:pPr>
        <w:keepNext w:val="0"/>
        <w:keepLines w:val="0"/>
        <w:pageBreakBefore w:val="0"/>
        <w:widowControl w:val="0"/>
        <w:kinsoku/>
        <w:wordWrap/>
        <w:overflowPunct/>
        <w:topLinePunct w:val="0"/>
        <w:autoSpaceDE/>
        <w:autoSpaceDN/>
        <w:bidi w:val="0"/>
        <w:adjustRightInd/>
        <w:snapToGrid/>
        <w:spacing w:line="312" w:lineRule="auto"/>
        <w:jc w:val="left"/>
        <w:textAlignment w:val="auto"/>
        <w:rPr>
          <w:color w:val="auto"/>
          <w:highlight w:val="none"/>
        </w:rPr>
      </w:pPr>
    </w:p>
    <w:p w14:paraId="7E707ECE">
      <w:pPr>
        <w:keepNext w:val="0"/>
        <w:keepLines w:val="0"/>
        <w:pageBreakBefore w:val="0"/>
        <w:widowControl w:val="0"/>
        <w:kinsoku/>
        <w:wordWrap/>
        <w:overflowPunct/>
        <w:topLinePunct w:val="0"/>
        <w:autoSpaceDE/>
        <w:autoSpaceDN/>
        <w:bidi w:val="0"/>
        <w:adjustRightInd/>
        <w:snapToGrid/>
        <w:spacing w:line="312" w:lineRule="auto"/>
        <w:jc w:val="left"/>
        <w:textAlignment w:val="auto"/>
        <w:rPr>
          <w:color w:val="auto"/>
          <w:highlight w:val="none"/>
        </w:rPr>
      </w:pPr>
    </w:p>
    <w:p w14:paraId="76831BF1">
      <w:pPr>
        <w:keepNext w:val="0"/>
        <w:keepLines w:val="0"/>
        <w:pageBreakBefore w:val="0"/>
        <w:widowControl w:val="0"/>
        <w:kinsoku/>
        <w:wordWrap/>
        <w:overflowPunct/>
        <w:topLinePunct w:val="0"/>
        <w:autoSpaceDE/>
        <w:autoSpaceDN/>
        <w:bidi w:val="0"/>
        <w:adjustRightInd/>
        <w:snapToGrid/>
        <w:spacing w:line="312" w:lineRule="auto"/>
        <w:jc w:val="left"/>
        <w:textAlignment w:val="auto"/>
        <w:rPr>
          <w:color w:val="auto"/>
          <w:highlight w:val="none"/>
        </w:rPr>
      </w:pPr>
    </w:p>
    <w:p w14:paraId="2E2BA72B">
      <w:pPr>
        <w:keepNext w:val="0"/>
        <w:keepLines w:val="0"/>
        <w:pageBreakBefore w:val="0"/>
        <w:widowControl w:val="0"/>
        <w:kinsoku/>
        <w:wordWrap/>
        <w:overflowPunct/>
        <w:topLinePunct w:val="0"/>
        <w:autoSpaceDE/>
        <w:autoSpaceDN/>
        <w:bidi w:val="0"/>
        <w:adjustRightInd/>
        <w:snapToGrid/>
        <w:spacing w:line="312" w:lineRule="auto"/>
        <w:jc w:val="left"/>
        <w:textAlignment w:val="auto"/>
        <w:rPr>
          <w:color w:val="auto"/>
          <w:highlight w:val="none"/>
        </w:rPr>
      </w:pPr>
    </w:p>
    <w:p w14:paraId="6A72002B">
      <w:pPr>
        <w:keepNext w:val="0"/>
        <w:keepLines w:val="0"/>
        <w:pageBreakBefore w:val="0"/>
        <w:widowControl w:val="0"/>
        <w:kinsoku/>
        <w:wordWrap/>
        <w:overflowPunct/>
        <w:topLinePunct w:val="0"/>
        <w:autoSpaceDE/>
        <w:autoSpaceDN/>
        <w:bidi w:val="0"/>
        <w:adjustRightInd/>
        <w:snapToGrid/>
        <w:spacing w:line="312" w:lineRule="auto"/>
        <w:jc w:val="left"/>
        <w:textAlignment w:val="auto"/>
        <w:rPr>
          <w:color w:val="auto"/>
          <w:highlight w:val="none"/>
        </w:rPr>
      </w:pPr>
    </w:p>
    <w:p w14:paraId="28704B90">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Times New Roman" w:hAnsi="Times New Roman" w:eastAsia="宋体" w:cs="Times New Roman"/>
          <w:b/>
          <w:bCs/>
          <w:color w:val="auto"/>
          <w:szCs w:val="21"/>
          <w:highlight w:val="none"/>
        </w:rPr>
      </w:pPr>
      <w:r>
        <w:rPr>
          <w:color w:val="auto"/>
          <w:highlight w:val="none"/>
        </w:rPr>
        <w:t>附</w:t>
      </w:r>
      <w:r>
        <w:rPr>
          <w:rFonts w:hint="eastAsia"/>
          <w:color w:val="auto"/>
          <w:highlight w:val="none"/>
          <w:lang w:val="en-US" w:eastAsia="zh-CN"/>
        </w:rPr>
        <w:t>件三</w:t>
      </w:r>
      <w:r>
        <w:rPr>
          <w:rFonts w:hint="eastAsia"/>
          <w:color w:val="auto"/>
          <w:highlight w:val="none"/>
        </w:rPr>
        <w:t>：</w:t>
      </w:r>
    </w:p>
    <w:p w14:paraId="18E1B716">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南京市第一医院</w:t>
      </w:r>
    </w:p>
    <w:p w14:paraId="16A908EF">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医疗设备安装（施工）单位消防、安全生产、治安管理责任书</w:t>
      </w:r>
    </w:p>
    <w:p w14:paraId="029D1D1F">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b/>
          <w:bCs/>
          <w:color w:val="auto"/>
          <w:sz w:val="21"/>
          <w:szCs w:val="21"/>
          <w:highlight w:val="none"/>
        </w:rPr>
      </w:pPr>
      <w:r>
        <w:rPr>
          <w:rFonts w:hint="eastAsia" w:ascii="宋体" w:hAnsi="宋体" w:eastAsia="宋体"/>
          <w:color w:val="auto"/>
          <w:sz w:val="21"/>
          <w:szCs w:val="21"/>
          <w:highlight w:val="none"/>
          <w:lang w:val="en-US" w:eastAsia="zh-CN"/>
        </w:rPr>
        <w:t>本附件与主合同具有同等法律效应。</w:t>
      </w:r>
    </w:p>
    <w:p w14:paraId="434187A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单位的消防、安全生产、治安管理工作责任人在南京市第一医院临床医学工程处的指导下，全面负责本单位在南京市第一医院相关医疗设备安装</w:t>
      </w:r>
      <w:r>
        <w:rPr>
          <w:rFonts w:hAnsi="宋体"/>
          <w:color w:val="auto"/>
          <w:sz w:val="21"/>
          <w:szCs w:val="21"/>
          <w:highlight w:val="none"/>
        </w:rPr>
        <w:t>（含维修）</w:t>
      </w:r>
      <w:r>
        <w:rPr>
          <w:rFonts w:hint="eastAsia"/>
          <w:color w:val="auto"/>
          <w:szCs w:val="21"/>
          <w:highlight w:val="none"/>
        </w:rPr>
        <w:t>期间的消防</w:t>
      </w:r>
      <w:r>
        <w:rPr>
          <w:rFonts w:hint="eastAsia"/>
          <w:color w:val="auto"/>
          <w:szCs w:val="21"/>
          <w:highlight w:val="none"/>
          <w:lang w:eastAsia="zh-CN"/>
        </w:rPr>
        <w:t>、</w:t>
      </w:r>
      <w:r>
        <w:rPr>
          <w:rFonts w:hint="eastAsia"/>
          <w:color w:val="auto"/>
          <w:szCs w:val="21"/>
          <w:highlight w:val="none"/>
        </w:rPr>
        <w:t>安全生产和治安防范工作，履行以下职责：</w:t>
      </w:r>
    </w:p>
    <w:p w14:paraId="08E1CE6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一</w:t>
      </w:r>
      <w:r>
        <w:rPr>
          <w:color w:val="auto"/>
          <w:szCs w:val="21"/>
          <w:highlight w:val="none"/>
        </w:rPr>
        <w:t>、</w:t>
      </w:r>
      <w:r>
        <w:rPr>
          <w:rFonts w:hint="eastAsia"/>
          <w:color w:val="auto"/>
          <w:szCs w:val="21"/>
          <w:highlight w:val="none"/>
        </w:rPr>
        <w:t>贯彻执行消防法规，建筑法规、安全治安管理有关法律法规，并掌握本单位的消防安全状况，自觉接受临床医学工程处的安全管理指导。</w:t>
      </w:r>
    </w:p>
    <w:p w14:paraId="52E3ED0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二</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管理必须坚持“安全第一、预防为主”的方针，医疗设备安装</w:t>
      </w:r>
      <w:r>
        <w:rPr>
          <w:rFonts w:hAnsi="宋体"/>
          <w:color w:val="auto"/>
          <w:sz w:val="21"/>
          <w:szCs w:val="21"/>
          <w:highlight w:val="none"/>
        </w:rPr>
        <w:t>（含维修）</w:t>
      </w:r>
      <w:r>
        <w:rPr>
          <w:rFonts w:hint="eastAsia"/>
          <w:color w:val="auto"/>
          <w:szCs w:val="21"/>
          <w:highlight w:val="none"/>
        </w:rPr>
        <w:t>单位的法定代表人对本单位的安全生产负总责。</w:t>
      </w:r>
    </w:p>
    <w:p w14:paraId="10D6E8E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三</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单位必须依法加强对医疗设备安装施工的管理，执行安全生产责任制度，采取有效措施，防止伤亡和其他安全生产责任事故的发生。</w:t>
      </w:r>
    </w:p>
    <w:p w14:paraId="1789E8A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四</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单位应当建立健全劳动安全生产教育培训制度，加强对职工生产安全的教育和培训，未经安全生产教育培训人员不得上岗作业。</w:t>
      </w:r>
    </w:p>
    <w:p w14:paraId="0731545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五</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和作业人员在施工过程中，应当遵守有关安全生产的法律、法规和建筑行业安全规范（规程），不得违章指挥或违章作业。</w:t>
      </w:r>
    </w:p>
    <w:p w14:paraId="6823E01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六</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应当在施工现场采取维护安全、防范危险、预防火灾等措施，施工现场对毗邻的建筑，构筑物和特殊作业环境可能造成损害的，医疗设备安装</w:t>
      </w:r>
      <w:r>
        <w:rPr>
          <w:rFonts w:hAnsi="宋体"/>
          <w:color w:val="auto"/>
          <w:sz w:val="21"/>
          <w:szCs w:val="21"/>
          <w:highlight w:val="none"/>
        </w:rPr>
        <w:t>（含维修）</w:t>
      </w:r>
      <w:r>
        <w:rPr>
          <w:rFonts w:hint="eastAsia"/>
          <w:color w:val="auto"/>
          <w:szCs w:val="21"/>
          <w:highlight w:val="none"/>
        </w:rPr>
        <w:t>单位应当采取措施加以保护。</w:t>
      </w:r>
    </w:p>
    <w:p w14:paraId="08B1E5B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color w:val="auto"/>
          <w:szCs w:val="21"/>
          <w:highlight w:val="none"/>
        </w:rPr>
      </w:pPr>
      <w:r>
        <w:rPr>
          <w:rFonts w:hint="eastAsia"/>
          <w:color w:val="auto"/>
          <w:szCs w:val="21"/>
          <w:highlight w:val="none"/>
        </w:rPr>
        <w:t>七</w:t>
      </w:r>
      <w:r>
        <w:rPr>
          <w:color w:val="auto"/>
          <w:szCs w:val="21"/>
          <w:highlight w:val="none"/>
        </w:rPr>
        <w:t>、</w:t>
      </w:r>
      <w:r>
        <w:rPr>
          <w:rFonts w:hint="eastAsia"/>
          <w:color w:val="auto"/>
          <w:szCs w:val="21"/>
          <w:highlight w:val="none"/>
        </w:rPr>
        <w:t>严格管理动火程序，因医疗设备安装</w:t>
      </w:r>
      <w:r>
        <w:rPr>
          <w:rFonts w:hAnsi="宋体"/>
          <w:color w:val="auto"/>
          <w:sz w:val="21"/>
          <w:szCs w:val="21"/>
          <w:highlight w:val="none"/>
        </w:rPr>
        <w:t>（含维修）</w:t>
      </w:r>
      <w:r>
        <w:rPr>
          <w:rFonts w:hint="eastAsia"/>
          <w:color w:val="auto"/>
          <w:szCs w:val="21"/>
          <w:highlight w:val="none"/>
        </w:rPr>
        <w:t>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p>
    <w:p w14:paraId="75D53A54">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color w:val="auto"/>
          <w:szCs w:val="21"/>
          <w:highlight w:val="none"/>
        </w:rPr>
      </w:pPr>
      <w:r>
        <w:rPr>
          <w:rFonts w:hint="eastAsia"/>
          <w:color w:val="auto"/>
          <w:szCs w:val="21"/>
          <w:highlight w:val="none"/>
        </w:rPr>
        <w:t>八</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单位应加强对在医院施工的工程人员的管理，并将在我院施工的所有工作人员名单上报到临床医学工程处和保卫处备案</w:t>
      </w:r>
      <w:r>
        <w:rPr>
          <w:rFonts w:hAnsi="宋体"/>
          <w:color w:val="auto"/>
          <w:sz w:val="21"/>
          <w:szCs w:val="21"/>
          <w:highlight w:val="none"/>
        </w:rPr>
        <w:t>，接受院方动态监督。</w:t>
      </w:r>
    </w:p>
    <w:p w14:paraId="70F13D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九</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单位因违反上述规定引起事故，造成人员伤亡及财产损失的，由医疗设备安装</w:t>
      </w:r>
      <w:r>
        <w:rPr>
          <w:rFonts w:hAnsi="宋体"/>
          <w:color w:val="auto"/>
          <w:sz w:val="21"/>
          <w:szCs w:val="21"/>
          <w:highlight w:val="none"/>
        </w:rPr>
        <w:t>（含维修）</w:t>
      </w:r>
      <w:r>
        <w:rPr>
          <w:rFonts w:hint="eastAsia"/>
          <w:color w:val="auto"/>
          <w:szCs w:val="21"/>
          <w:highlight w:val="none"/>
        </w:rPr>
        <w:t>单位负全部责任，并承担经济赔偿责任，对屡教不改的医疗设备安装（施工）单位，医院有权终止医疗设备采购合同。</w:t>
      </w:r>
    </w:p>
    <w:p w14:paraId="29B2D9F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十</w:t>
      </w:r>
      <w:r>
        <w:rPr>
          <w:color w:val="auto"/>
          <w:szCs w:val="21"/>
          <w:highlight w:val="none"/>
        </w:rPr>
        <w:t>、</w:t>
      </w:r>
      <w:r>
        <w:rPr>
          <w:rFonts w:hint="eastAsia"/>
          <w:color w:val="auto"/>
          <w:szCs w:val="21"/>
          <w:highlight w:val="none"/>
        </w:rPr>
        <w:t>在您签名（盖章）前，请认真阅读以上规定，签字（盖章）后，表示已同意遵守南京市第一医院有关消防、安全生产、治安保卫规定，南京市第一医院对责任书有最终解释权。</w:t>
      </w:r>
    </w:p>
    <w:p w14:paraId="12CF340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十一</w:t>
      </w:r>
      <w:r>
        <w:rPr>
          <w:color w:val="auto"/>
          <w:szCs w:val="21"/>
          <w:highlight w:val="none"/>
        </w:rPr>
        <w:t>、</w:t>
      </w:r>
      <w:r>
        <w:rPr>
          <w:rFonts w:hint="eastAsia"/>
          <w:color w:val="auto"/>
          <w:szCs w:val="21"/>
          <w:highlight w:val="none"/>
        </w:rPr>
        <w:t>医疗设备安装（施工）单位如果在施工过程中违反相关规定，经临床医学工程处和保卫处核实，医院将开具处罚通知书，并在医疗设备合同金额中扣除相关处罚费用。</w:t>
      </w:r>
    </w:p>
    <w:tbl>
      <w:tblPr>
        <w:tblStyle w:val="35"/>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68"/>
        <w:gridCol w:w="4110"/>
      </w:tblGrid>
      <w:tr w14:paraId="5BDBE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24" w:hRule="atLeast"/>
          <w:jc w:val="right"/>
        </w:trPr>
        <w:tc>
          <w:tcPr>
            <w:tcW w:w="2268" w:type="dxa"/>
            <w:noWrap w:val="0"/>
            <w:vAlign w:val="top"/>
          </w:tcPr>
          <w:p w14:paraId="54DC9F37">
            <w:pPr>
              <w:keepNext w:val="0"/>
              <w:keepLines w:val="0"/>
              <w:pageBreakBefore w:val="0"/>
              <w:widowControl w:val="0"/>
              <w:kinsoku/>
              <w:overflowPunct/>
              <w:topLinePunct w:val="0"/>
              <w:autoSpaceDE/>
              <w:autoSpaceDN/>
              <w:bidi w:val="0"/>
              <w:adjustRightInd/>
              <w:snapToGrid w:val="0"/>
              <w:spacing w:line="312" w:lineRule="auto"/>
              <w:ind w:firstLine="420" w:firstLineChars="200"/>
              <w:jc w:val="righ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公司名称：</w:t>
            </w:r>
          </w:p>
        </w:tc>
        <w:tc>
          <w:tcPr>
            <w:tcW w:w="4110" w:type="dxa"/>
            <w:noWrap w:val="0"/>
            <w:vAlign w:val="top"/>
          </w:tcPr>
          <w:p w14:paraId="02684B3A">
            <w:pPr>
              <w:keepNext w:val="0"/>
              <w:keepLines w:val="0"/>
              <w:pageBreakBefore w:val="0"/>
              <w:widowControl w:val="0"/>
              <w:kinsoku/>
              <w:overflowPunct/>
              <w:topLinePunct w:val="0"/>
              <w:autoSpaceDE/>
              <w:autoSpaceDN/>
              <w:bidi w:val="0"/>
              <w:adjustRightInd/>
              <w:snapToGrid w:val="0"/>
              <w:spacing w:line="312" w:lineRule="auto"/>
              <w:ind w:firstLine="1785" w:firstLineChars="85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（盖章）</w:t>
            </w:r>
          </w:p>
        </w:tc>
      </w:tr>
      <w:tr w14:paraId="60E66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noWrap w:val="0"/>
            <w:vAlign w:val="top"/>
          </w:tcPr>
          <w:p w14:paraId="505F93E5">
            <w:pPr>
              <w:keepNext w:val="0"/>
              <w:keepLines w:val="0"/>
              <w:pageBreakBefore w:val="0"/>
              <w:widowControl w:val="0"/>
              <w:kinsoku/>
              <w:overflowPunct/>
              <w:topLinePunct w:val="0"/>
              <w:autoSpaceDE/>
              <w:autoSpaceDN/>
              <w:bidi w:val="0"/>
              <w:adjustRightInd/>
              <w:snapToGrid w:val="0"/>
              <w:spacing w:line="312" w:lineRule="auto"/>
              <w:ind w:firstLine="420" w:firstLineChars="200"/>
              <w:jc w:val="righ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w:t>
            </w:r>
          </w:p>
        </w:tc>
        <w:tc>
          <w:tcPr>
            <w:tcW w:w="4110" w:type="dxa"/>
            <w:noWrap w:val="0"/>
            <w:vAlign w:val="top"/>
          </w:tcPr>
          <w:p w14:paraId="01CB9C56">
            <w:pPr>
              <w:keepNext w:val="0"/>
              <w:keepLines w:val="0"/>
              <w:pageBreakBefore w:val="0"/>
              <w:widowControl w:val="0"/>
              <w:kinsoku/>
              <w:overflowPunct/>
              <w:topLinePunct w:val="0"/>
              <w:autoSpaceDE/>
              <w:autoSpaceDN/>
              <w:bidi w:val="0"/>
              <w:adjustRightInd/>
              <w:snapToGrid w:val="0"/>
              <w:spacing w:line="312" w:lineRule="auto"/>
              <w:textAlignment w:val="auto"/>
              <w:rPr>
                <w:rFonts w:hint="eastAsia" w:ascii="宋体" w:hAnsi="宋体" w:eastAsia="宋体" w:cs="宋体"/>
                <w:color w:val="auto"/>
                <w:szCs w:val="24"/>
                <w:highlight w:val="none"/>
              </w:rPr>
            </w:pPr>
          </w:p>
        </w:tc>
      </w:tr>
      <w:tr w14:paraId="5324C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noWrap w:val="0"/>
            <w:vAlign w:val="top"/>
          </w:tcPr>
          <w:p w14:paraId="333318D8">
            <w:pPr>
              <w:keepNext w:val="0"/>
              <w:keepLines w:val="0"/>
              <w:pageBreakBefore w:val="0"/>
              <w:widowControl w:val="0"/>
              <w:kinsoku/>
              <w:wordWrap w:val="0"/>
              <w:overflowPunct/>
              <w:topLinePunct w:val="0"/>
              <w:autoSpaceDE/>
              <w:autoSpaceDN/>
              <w:bidi w:val="0"/>
              <w:adjustRightInd/>
              <w:snapToGrid w:val="0"/>
              <w:spacing w:line="312" w:lineRule="auto"/>
              <w:ind w:firstLine="420" w:firstLineChars="200"/>
              <w:jc w:val="righ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tc>
        <w:tc>
          <w:tcPr>
            <w:tcW w:w="4110" w:type="dxa"/>
            <w:noWrap w:val="0"/>
            <w:vAlign w:val="top"/>
          </w:tcPr>
          <w:p w14:paraId="791AE894">
            <w:pPr>
              <w:keepNext w:val="0"/>
              <w:keepLines w:val="0"/>
              <w:pageBreakBefore w:val="0"/>
              <w:widowControl w:val="0"/>
              <w:kinsoku/>
              <w:overflowPunct/>
              <w:topLinePunct w:val="0"/>
              <w:autoSpaceDE/>
              <w:autoSpaceDN/>
              <w:bidi w:val="0"/>
              <w:adjustRightInd/>
              <w:snapToGrid w:val="0"/>
              <w:spacing w:line="312" w:lineRule="auto"/>
              <w:textAlignment w:val="auto"/>
              <w:rPr>
                <w:rFonts w:hint="eastAsia" w:ascii="宋体" w:hAnsi="宋体" w:eastAsia="宋体" w:cs="宋体"/>
                <w:color w:val="auto"/>
                <w:szCs w:val="24"/>
                <w:highlight w:val="none"/>
              </w:rPr>
            </w:pPr>
          </w:p>
        </w:tc>
      </w:tr>
    </w:tbl>
    <w:p w14:paraId="5FF80097">
      <w:pPr>
        <w:rPr>
          <w:color w:val="auto"/>
          <w:highlight w:val="none"/>
        </w:rPr>
      </w:pPr>
    </w:p>
    <w:p w14:paraId="73C1A5E2">
      <w:pPr>
        <w:keepNext/>
        <w:keepLines/>
        <w:pageBreakBefore/>
        <w:jc w:val="center"/>
        <w:outlineLvl w:val="0"/>
        <w:rPr>
          <w:rFonts w:hint="eastAsia" w:ascii="宋体" w:hAnsi="宋体" w:cs="宋体"/>
          <w:b/>
          <w:sz w:val="44"/>
          <w:szCs w:val="44"/>
          <w:highlight w:val="none"/>
        </w:rPr>
      </w:pPr>
      <w:r>
        <w:rPr>
          <w:rFonts w:ascii="宋体" w:hAnsi="宋体"/>
          <w:highlight w:val="none"/>
        </w:rPr>
        <w:br w:type="page" w:clear="all"/>
      </w:r>
      <w:bookmarkEnd w:id="86"/>
      <w:bookmarkEnd w:id="87"/>
      <w:bookmarkStart w:id="101" w:name="_Toc199794495"/>
      <w:r>
        <w:rPr>
          <w:rFonts w:hint="eastAsia" w:ascii="宋体" w:hAnsi="宋体" w:cs="宋体"/>
          <w:b/>
          <w:sz w:val="44"/>
          <w:szCs w:val="44"/>
          <w:highlight w:val="none"/>
        </w:rPr>
        <w:t>第六部分  投标文件格式</w:t>
      </w:r>
      <w:bookmarkEnd w:id="101"/>
    </w:p>
    <w:p w14:paraId="6705B587">
      <w:pPr>
        <w:jc w:val="left"/>
        <w:rPr>
          <w:rFonts w:hint="eastAsia" w:ascii="宋体" w:hAnsi="宋体" w:cs="宋体"/>
          <w:b/>
          <w:bCs/>
          <w:sz w:val="28"/>
          <w:szCs w:val="32"/>
          <w:highlight w:val="none"/>
        </w:rPr>
      </w:pPr>
    </w:p>
    <w:p w14:paraId="6111E192">
      <w:pPr>
        <w:jc w:val="left"/>
        <w:rPr>
          <w:rFonts w:hint="eastAsia" w:ascii="宋体" w:hAnsi="宋体" w:cs="宋体"/>
          <w:b/>
          <w:bCs/>
          <w:sz w:val="28"/>
          <w:szCs w:val="32"/>
          <w:highlight w:val="none"/>
        </w:rPr>
      </w:pPr>
    </w:p>
    <w:p w14:paraId="06077C9A">
      <w:pPr>
        <w:jc w:val="left"/>
        <w:rPr>
          <w:rFonts w:hint="eastAsia" w:ascii="宋体" w:hAnsi="宋体" w:cs="宋体"/>
          <w:b/>
          <w:bCs/>
          <w:sz w:val="28"/>
          <w:szCs w:val="32"/>
          <w:highlight w:val="none"/>
        </w:rPr>
      </w:pPr>
    </w:p>
    <w:p w14:paraId="6843DC43">
      <w:pPr>
        <w:jc w:val="left"/>
        <w:rPr>
          <w:rFonts w:hint="eastAsia" w:ascii="宋体" w:hAnsi="宋体" w:cs="宋体"/>
          <w:b/>
          <w:bCs/>
          <w:sz w:val="28"/>
          <w:szCs w:val="32"/>
          <w:highlight w:val="none"/>
        </w:rPr>
      </w:pPr>
      <w:r>
        <w:rPr>
          <w:rFonts w:hint="eastAsia" w:ascii="宋体" w:hAnsi="宋体" w:cs="宋体"/>
          <w:b/>
          <w:bCs/>
          <w:sz w:val="28"/>
          <w:szCs w:val="32"/>
          <w:highlight w:val="none"/>
        </w:rPr>
        <w:t>投标文件格式使用注意事项：</w:t>
      </w:r>
    </w:p>
    <w:p w14:paraId="0E65D8A6">
      <w:pPr>
        <w:jc w:val="left"/>
        <w:rPr>
          <w:rFonts w:hint="eastAsia" w:ascii="宋体" w:hAnsi="宋体" w:cs="宋体"/>
          <w:b/>
          <w:bCs/>
          <w:sz w:val="28"/>
          <w:szCs w:val="32"/>
          <w:highlight w:val="none"/>
        </w:rPr>
      </w:pPr>
      <w:r>
        <w:rPr>
          <w:rFonts w:hint="eastAsia" w:ascii="宋体" w:hAnsi="宋体" w:cs="宋体"/>
          <w:b/>
          <w:bCs/>
          <w:sz w:val="28"/>
          <w:szCs w:val="32"/>
          <w:highlight w:val="none"/>
        </w:rPr>
        <w:t>1．投标文件编制时应使用的模板已在本部分列明，招标文件要求提供但未提供模板的，格式自拟。</w:t>
      </w:r>
    </w:p>
    <w:p w14:paraId="1A2DB5DE">
      <w:pPr>
        <w:jc w:val="left"/>
        <w:rPr>
          <w:rFonts w:hint="eastAsia" w:ascii="宋体" w:hAnsi="宋体" w:cs="宋体"/>
          <w:b/>
          <w:bCs/>
          <w:sz w:val="28"/>
          <w:szCs w:val="32"/>
          <w:highlight w:val="none"/>
        </w:rPr>
      </w:pPr>
      <w:r>
        <w:rPr>
          <w:rFonts w:hint="eastAsia" w:ascii="宋体" w:hAnsi="宋体" w:cs="宋体"/>
          <w:b/>
          <w:bCs/>
          <w:sz w:val="28"/>
          <w:szCs w:val="32"/>
          <w:highlight w:val="none"/>
        </w:rPr>
        <w:t>2．模板没有先后顺序，在使用模板时模板名称对应苏采云系统目录名称。</w:t>
      </w:r>
    </w:p>
    <w:p w14:paraId="33DDB4A3">
      <w:pPr>
        <w:jc w:val="left"/>
        <w:rPr>
          <w:rFonts w:hint="eastAsia" w:ascii="宋体" w:hAnsi="宋体" w:cs="宋体"/>
          <w:b/>
          <w:sz w:val="32"/>
          <w:szCs w:val="24"/>
          <w:highlight w:val="none"/>
        </w:rPr>
      </w:pPr>
      <w:bookmarkStart w:id="102" w:name="_Toc26779"/>
      <w:bookmarkStart w:id="103" w:name="_Toc199794496"/>
      <w:bookmarkStart w:id="104" w:name="_Toc514054484"/>
      <w:r>
        <w:rPr>
          <w:rFonts w:hint="eastAsia" w:ascii="宋体" w:hAnsi="宋体" w:cs="宋体"/>
          <w:highlight w:val="none"/>
        </w:rPr>
        <w:br w:type="page"/>
      </w:r>
    </w:p>
    <w:p w14:paraId="5B67A38F">
      <w:pPr>
        <w:pStyle w:val="515"/>
        <w:ind w:firstLine="321"/>
        <w:jc w:val="center"/>
        <w:outlineLvl w:val="1"/>
        <w:rPr>
          <w:rFonts w:hint="eastAsia" w:ascii="宋体" w:hAnsi="宋体" w:eastAsia="宋体" w:cs="宋体"/>
          <w:highlight w:val="none"/>
        </w:rPr>
      </w:pPr>
      <w:r>
        <w:rPr>
          <w:rFonts w:hint="eastAsia" w:ascii="宋体" w:hAnsi="宋体" w:eastAsia="宋体" w:cs="宋体"/>
          <w:highlight w:val="none"/>
        </w:rPr>
        <w:t>封面</w:t>
      </w:r>
      <w:bookmarkEnd w:id="102"/>
      <w:bookmarkEnd w:id="103"/>
      <w:bookmarkEnd w:id="104"/>
    </w:p>
    <w:p w14:paraId="31FA96B1">
      <w:pPr>
        <w:pStyle w:val="381"/>
        <w:jc w:val="left"/>
        <w:rPr>
          <w:rFonts w:hint="eastAsia" w:ascii="宋体" w:hAnsi="宋体" w:cs="宋体"/>
          <w:sz w:val="32"/>
          <w:szCs w:val="32"/>
          <w:highlight w:val="none"/>
        </w:rPr>
      </w:pPr>
    </w:p>
    <w:p w14:paraId="7573D3CC">
      <w:pPr>
        <w:pStyle w:val="381"/>
        <w:jc w:val="left"/>
        <w:rPr>
          <w:rFonts w:hint="eastAsia" w:ascii="宋体" w:hAnsi="宋体" w:cs="宋体"/>
          <w:sz w:val="32"/>
          <w:szCs w:val="32"/>
          <w:highlight w:val="none"/>
        </w:rPr>
      </w:pPr>
    </w:p>
    <w:p w14:paraId="77912E98">
      <w:pPr>
        <w:pStyle w:val="381"/>
        <w:jc w:val="left"/>
        <w:rPr>
          <w:rFonts w:hint="eastAsia" w:ascii="宋体" w:hAnsi="宋体" w:cs="宋体"/>
          <w:sz w:val="32"/>
          <w:szCs w:val="32"/>
          <w:highlight w:val="none"/>
        </w:rPr>
      </w:pPr>
    </w:p>
    <w:p w14:paraId="17B5763B">
      <w:pPr>
        <w:pStyle w:val="381"/>
        <w:jc w:val="center"/>
        <w:rPr>
          <w:rFonts w:hint="eastAsia" w:ascii="宋体" w:hAnsi="宋体" w:cs="宋体"/>
          <w:sz w:val="52"/>
          <w:szCs w:val="52"/>
          <w:highlight w:val="none"/>
        </w:rPr>
      </w:pPr>
    </w:p>
    <w:p w14:paraId="27857666">
      <w:pPr>
        <w:pStyle w:val="381"/>
        <w:jc w:val="center"/>
        <w:rPr>
          <w:rFonts w:hint="eastAsia" w:ascii="宋体" w:hAnsi="宋体" w:cs="宋体"/>
          <w:sz w:val="28"/>
          <w:szCs w:val="28"/>
          <w:highlight w:val="none"/>
        </w:rPr>
      </w:pPr>
      <w:r>
        <w:rPr>
          <w:rFonts w:hint="eastAsia" w:ascii="宋体" w:hAnsi="宋体" w:cs="宋体"/>
          <w:sz w:val="72"/>
          <w:szCs w:val="72"/>
          <w:highlight w:val="none"/>
        </w:rPr>
        <w:t>投 标 文 件</w:t>
      </w:r>
    </w:p>
    <w:p w14:paraId="461BED0A">
      <w:pPr>
        <w:pStyle w:val="381"/>
        <w:jc w:val="left"/>
        <w:rPr>
          <w:rFonts w:hint="eastAsia" w:ascii="宋体" w:hAnsi="宋体" w:cs="宋体"/>
          <w:sz w:val="28"/>
          <w:szCs w:val="28"/>
          <w:highlight w:val="none"/>
        </w:rPr>
      </w:pPr>
    </w:p>
    <w:p w14:paraId="38616523">
      <w:pPr>
        <w:pStyle w:val="381"/>
        <w:jc w:val="left"/>
        <w:rPr>
          <w:rFonts w:hint="eastAsia" w:ascii="宋体" w:hAnsi="宋体" w:cs="宋体"/>
          <w:sz w:val="28"/>
          <w:szCs w:val="28"/>
          <w:highlight w:val="none"/>
        </w:rPr>
      </w:pPr>
    </w:p>
    <w:p w14:paraId="0B71B4A7">
      <w:pPr>
        <w:pStyle w:val="381"/>
        <w:jc w:val="left"/>
        <w:rPr>
          <w:rFonts w:hint="eastAsia" w:ascii="宋体" w:hAnsi="宋体" w:cs="宋体"/>
          <w:sz w:val="28"/>
          <w:szCs w:val="28"/>
          <w:highlight w:val="none"/>
        </w:rPr>
      </w:pPr>
    </w:p>
    <w:p w14:paraId="242C2257">
      <w:pPr>
        <w:pStyle w:val="381"/>
        <w:jc w:val="left"/>
        <w:rPr>
          <w:rFonts w:hint="eastAsia" w:ascii="宋体" w:hAnsi="宋体" w:cs="宋体"/>
          <w:sz w:val="28"/>
          <w:szCs w:val="28"/>
          <w:highlight w:val="none"/>
        </w:rPr>
      </w:pPr>
    </w:p>
    <w:p w14:paraId="4C2E3BDF">
      <w:pPr>
        <w:pStyle w:val="381"/>
        <w:jc w:val="left"/>
        <w:rPr>
          <w:rFonts w:hint="eastAsia" w:ascii="宋体" w:hAnsi="宋体" w:cs="宋体"/>
          <w:sz w:val="28"/>
          <w:szCs w:val="28"/>
          <w:highlight w:val="none"/>
        </w:rPr>
      </w:pPr>
    </w:p>
    <w:p w14:paraId="24BBB2CE">
      <w:pPr>
        <w:pStyle w:val="285"/>
        <w:ind w:firstLine="723"/>
        <w:jc w:val="both"/>
        <w:rPr>
          <w:rFonts w:hint="eastAsia" w:hAnsi="宋体" w:cs="宋体"/>
          <w:highlight w:val="none"/>
        </w:rPr>
      </w:pPr>
      <w:r>
        <w:rPr>
          <w:rFonts w:hint="eastAsia" w:hAnsi="宋体" w:cs="宋体"/>
          <w:b/>
          <w:sz w:val="36"/>
          <w:szCs w:val="36"/>
          <w:highlight w:val="none"/>
        </w:rPr>
        <w:t>项目 名 称：</w:t>
      </w:r>
      <w:r>
        <w:rPr>
          <w:rFonts w:hint="eastAsia" w:hAnsi="宋体" w:cs="宋体"/>
          <w:b/>
          <w:sz w:val="36"/>
          <w:szCs w:val="36"/>
          <w:highlight w:val="none"/>
          <w:u w:val="single"/>
        </w:rPr>
        <w:t xml:space="preserve">               </w:t>
      </w:r>
    </w:p>
    <w:p w14:paraId="4FC745AD">
      <w:pPr>
        <w:pStyle w:val="285"/>
        <w:ind w:firstLine="723"/>
        <w:jc w:val="both"/>
        <w:rPr>
          <w:rFonts w:hint="eastAsia" w:hAnsi="宋体" w:cs="宋体"/>
          <w:highlight w:val="none"/>
        </w:rPr>
      </w:pPr>
      <w:r>
        <w:rPr>
          <w:rFonts w:hint="eastAsia" w:hAnsi="宋体" w:cs="宋体"/>
          <w:b/>
          <w:sz w:val="36"/>
          <w:szCs w:val="36"/>
          <w:highlight w:val="none"/>
        </w:rPr>
        <w:t>项目 编 号：</w:t>
      </w:r>
      <w:r>
        <w:rPr>
          <w:rFonts w:hint="eastAsia" w:hAnsi="宋体" w:cs="宋体"/>
          <w:b/>
          <w:sz w:val="36"/>
          <w:szCs w:val="36"/>
          <w:highlight w:val="none"/>
          <w:u w:val="single"/>
        </w:rPr>
        <w:t xml:space="preserve">               </w:t>
      </w:r>
    </w:p>
    <w:p w14:paraId="2AC8EA92">
      <w:pPr>
        <w:pStyle w:val="285"/>
        <w:ind w:firstLine="723"/>
        <w:jc w:val="both"/>
        <w:rPr>
          <w:rFonts w:hint="eastAsia" w:hAnsi="宋体" w:cs="宋体"/>
          <w:highlight w:val="none"/>
        </w:rPr>
      </w:pPr>
      <w:r>
        <w:rPr>
          <w:rFonts w:hint="eastAsia" w:hAnsi="宋体" w:cs="宋体"/>
          <w:b/>
          <w:sz w:val="36"/>
          <w:szCs w:val="36"/>
          <w:highlight w:val="none"/>
        </w:rPr>
        <w:t>投标人名称 ：</w:t>
      </w:r>
      <w:r>
        <w:rPr>
          <w:rFonts w:hint="eastAsia" w:hAnsi="宋体" w:cs="宋体"/>
          <w:b/>
          <w:sz w:val="36"/>
          <w:szCs w:val="36"/>
          <w:highlight w:val="none"/>
          <w:u w:val="single"/>
        </w:rPr>
        <w:t xml:space="preserve">（加盖CA电子公章）        </w:t>
      </w:r>
    </w:p>
    <w:p w14:paraId="78DBAC04">
      <w:pPr>
        <w:pStyle w:val="285"/>
        <w:ind w:firstLine="723"/>
        <w:jc w:val="both"/>
        <w:rPr>
          <w:rFonts w:hint="eastAsia" w:hAnsi="宋体" w:cs="宋体"/>
          <w:highlight w:val="none"/>
        </w:rPr>
      </w:pPr>
      <w:r>
        <w:rPr>
          <w:rFonts w:hint="eastAsia" w:hAnsi="宋体" w:cs="宋体"/>
          <w:b/>
          <w:sz w:val="36"/>
          <w:szCs w:val="36"/>
          <w:highlight w:val="none"/>
        </w:rPr>
        <w:t>日   期 ：</w:t>
      </w:r>
      <w:r>
        <w:rPr>
          <w:rFonts w:hint="eastAsia" w:hAnsi="宋体" w:cs="宋体"/>
          <w:b/>
          <w:sz w:val="36"/>
          <w:szCs w:val="36"/>
          <w:highlight w:val="none"/>
          <w:u w:val="single"/>
        </w:rPr>
        <w:t>                     </w:t>
      </w:r>
    </w:p>
    <w:p w14:paraId="1E631283">
      <w:pPr>
        <w:pStyle w:val="285"/>
        <w:spacing w:line="0" w:lineRule="atLeast"/>
        <w:rPr>
          <w:rFonts w:hint="eastAsia" w:hAnsi="宋体" w:cs="宋体"/>
          <w:highlight w:val="none"/>
        </w:rPr>
      </w:pPr>
      <w:r>
        <w:rPr>
          <w:rFonts w:hint="eastAsia" w:hAnsi="宋体" w:cs="宋体"/>
          <w:highlight w:val="none"/>
        </w:rPr>
        <w:t> </w:t>
      </w:r>
    </w:p>
    <w:p w14:paraId="59C9E535">
      <w:pPr>
        <w:pStyle w:val="285"/>
        <w:spacing w:line="0" w:lineRule="atLeast"/>
        <w:jc w:val="both"/>
        <w:rPr>
          <w:rFonts w:hint="eastAsia" w:hAnsi="宋体" w:cs="宋体"/>
          <w:highlight w:val="none"/>
        </w:rPr>
      </w:pPr>
      <w:r>
        <w:rPr>
          <w:rFonts w:hint="eastAsia" w:hAnsi="宋体" w:cs="宋体"/>
          <w:highlight w:val="none"/>
        </w:rPr>
        <w:t> </w:t>
      </w:r>
    </w:p>
    <w:p w14:paraId="316B163E">
      <w:pPr>
        <w:rPr>
          <w:rFonts w:hint="eastAsia" w:ascii="宋体" w:hAnsi="宋体" w:cs="宋体"/>
          <w:highlight w:val="none"/>
        </w:rPr>
      </w:pPr>
    </w:p>
    <w:p w14:paraId="74412941">
      <w:pPr>
        <w:pStyle w:val="527"/>
        <w:jc w:val="center"/>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05" w:name="_Toc199794497"/>
      <w:bookmarkStart w:id="106" w:name="_Toc11482"/>
      <w:bookmarkStart w:id="107" w:name="_Toc514054485"/>
      <w:r>
        <w:rPr>
          <w:rFonts w:hint="eastAsia" w:ascii="宋体" w:hAnsi="宋体" w:eastAsia="宋体" w:cs="宋体"/>
          <w:highlight w:val="none"/>
        </w:rPr>
        <w:t>目录</w:t>
      </w:r>
      <w:bookmarkEnd w:id="105"/>
      <w:bookmarkEnd w:id="106"/>
      <w:bookmarkEnd w:id="107"/>
    </w:p>
    <w:p w14:paraId="02D88F90">
      <w:pPr>
        <w:pStyle w:val="397"/>
        <w:spacing w:after="100" w:afterAutospacing="1"/>
        <w:rPr>
          <w:rFonts w:hint="eastAsia" w:ascii="宋体" w:hAnsi="宋体" w:eastAsia="宋体" w:cs="宋体"/>
          <w:highlight w:val="none"/>
        </w:rPr>
      </w:pPr>
      <w:r>
        <w:rPr>
          <w:rFonts w:hint="eastAsia" w:ascii="宋体" w:hAnsi="宋体" w:eastAsia="宋体" w:cs="宋体"/>
          <w:highlight w:val="none"/>
        </w:rPr>
        <w:t>一、投标人基本情况</w:t>
      </w:r>
    </w:p>
    <w:p w14:paraId="49083EFC">
      <w:pPr>
        <w:pStyle w:val="397"/>
        <w:spacing w:after="100" w:afterAutospacing="1"/>
        <w:rPr>
          <w:rFonts w:hint="eastAsia" w:ascii="宋体" w:hAnsi="宋体" w:eastAsia="宋体" w:cs="宋体"/>
          <w:highlight w:val="none"/>
        </w:rPr>
      </w:pPr>
      <w:r>
        <w:rPr>
          <w:rFonts w:hint="eastAsia" w:ascii="宋体" w:hAnsi="宋体" w:eastAsia="宋体" w:cs="宋体"/>
          <w:highlight w:val="none"/>
        </w:rPr>
        <w:t>二、投标人资质</w:t>
      </w:r>
    </w:p>
    <w:p w14:paraId="5C6521D0">
      <w:pPr>
        <w:pStyle w:val="397"/>
        <w:spacing w:after="100" w:afterAutospacing="1"/>
        <w:rPr>
          <w:rFonts w:hint="eastAsia" w:ascii="宋体" w:hAnsi="宋体" w:eastAsia="宋体" w:cs="宋体"/>
          <w:highlight w:val="none"/>
        </w:rPr>
      </w:pPr>
      <w:r>
        <w:rPr>
          <w:rFonts w:hint="eastAsia" w:ascii="宋体" w:hAnsi="宋体" w:eastAsia="宋体" w:cs="宋体"/>
          <w:highlight w:val="none"/>
        </w:rPr>
        <w:t>三、投标人具有良好的商业信誉和健全的财务会计制度</w:t>
      </w:r>
    </w:p>
    <w:p w14:paraId="2ECF185B">
      <w:pPr>
        <w:pStyle w:val="397"/>
        <w:spacing w:after="100" w:afterAutospacing="1"/>
        <w:rPr>
          <w:rFonts w:hint="eastAsia" w:ascii="宋体" w:hAnsi="宋体" w:eastAsia="宋体" w:cs="宋体"/>
          <w:highlight w:val="none"/>
        </w:rPr>
      </w:pPr>
      <w:r>
        <w:rPr>
          <w:rFonts w:hint="eastAsia" w:ascii="宋体" w:hAnsi="宋体" w:eastAsia="宋体" w:cs="宋体"/>
          <w:highlight w:val="none"/>
        </w:rPr>
        <w:t>四、</w:t>
      </w:r>
      <w:r>
        <w:rPr>
          <w:rFonts w:hint="eastAsia" w:ascii="宋体" w:hAnsi="宋体" w:eastAsia="宋体" w:cs="宋体"/>
          <w:bCs/>
          <w:highlight w:val="none"/>
        </w:rPr>
        <w:t>具有履行合同所必需的设备和专业技术能力</w:t>
      </w:r>
    </w:p>
    <w:p w14:paraId="59E63532">
      <w:pPr>
        <w:pStyle w:val="397"/>
        <w:spacing w:after="100" w:afterAutospacing="1"/>
        <w:rPr>
          <w:rFonts w:hint="eastAsia" w:ascii="宋体" w:hAnsi="宋体" w:eastAsia="宋体" w:cs="宋体"/>
          <w:bCs/>
          <w:highlight w:val="none"/>
        </w:rPr>
      </w:pPr>
      <w:r>
        <w:rPr>
          <w:rFonts w:hint="eastAsia" w:ascii="宋体" w:hAnsi="宋体" w:eastAsia="宋体" w:cs="宋体"/>
          <w:highlight w:val="none"/>
        </w:rPr>
        <w:t>五、</w:t>
      </w:r>
      <w:r>
        <w:rPr>
          <w:rFonts w:hint="eastAsia" w:ascii="宋体" w:hAnsi="宋体" w:eastAsia="宋体" w:cs="宋体"/>
          <w:bCs/>
          <w:highlight w:val="none"/>
        </w:rPr>
        <w:t>有依法缴纳税收和社会保障资金的良好记录</w:t>
      </w:r>
    </w:p>
    <w:p w14:paraId="6F93ACB5">
      <w:pPr>
        <w:pStyle w:val="397"/>
        <w:spacing w:after="100" w:afterAutospacing="1"/>
        <w:rPr>
          <w:rFonts w:hint="eastAsia" w:ascii="宋体" w:hAnsi="宋体" w:eastAsia="宋体" w:cs="宋体"/>
          <w:highlight w:val="none"/>
        </w:rPr>
      </w:pPr>
      <w:r>
        <w:rPr>
          <w:rFonts w:hint="eastAsia" w:ascii="宋体" w:hAnsi="宋体" w:eastAsia="宋体" w:cs="宋体"/>
          <w:highlight w:val="none"/>
        </w:rPr>
        <w:t>六、无重大违法行为声明</w:t>
      </w:r>
    </w:p>
    <w:p w14:paraId="0F558B07">
      <w:pPr>
        <w:pStyle w:val="397"/>
        <w:spacing w:after="100" w:afterAutospacing="1"/>
        <w:rPr>
          <w:rFonts w:hint="eastAsia" w:ascii="宋体" w:hAnsi="宋体" w:eastAsia="宋体" w:cs="宋体"/>
          <w:highlight w:val="none"/>
        </w:rPr>
      </w:pPr>
      <w:r>
        <w:rPr>
          <w:rFonts w:hint="eastAsia" w:ascii="宋体" w:hAnsi="宋体" w:eastAsia="宋体" w:cs="宋体"/>
          <w:highlight w:val="none"/>
        </w:rPr>
        <w:t>七、南京市政府采购供应商信用记录表暨信用承诺书</w:t>
      </w:r>
    </w:p>
    <w:p w14:paraId="5FC334FA">
      <w:pPr>
        <w:pStyle w:val="397"/>
        <w:spacing w:after="100" w:afterAutospacing="1"/>
        <w:rPr>
          <w:rFonts w:hint="eastAsia" w:ascii="宋体" w:hAnsi="宋体" w:eastAsia="宋体" w:cs="宋体"/>
          <w:highlight w:val="none"/>
        </w:rPr>
      </w:pPr>
      <w:r>
        <w:rPr>
          <w:rFonts w:hint="eastAsia" w:ascii="宋体" w:hAnsi="宋体" w:eastAsia="宋体" w:cs="宋体"/>
          <w:highlight w:val="none"/>
        </w:rPr>
        <w:t>八、投标函</w:t>
      </w:r>
    </w:p>
    <w:p w14:paraId="5ED445D1">
      <w:pPr>
        <w:pStyle w:val="397"/>
        <w:spacing w:after="100" w:afterAutospacing="1"/>
        <w:rPr>
          <w:rFonts w:hint="eastAsia" w:ascii="宋体" w:hAnsi="宋体" w:eastAsia="宋体" w:cs="宋体"/>
          <w:highlight w:val="none"/>
        </w:rPr>
      </w:pPr>
      <w:r>
        <w:rPr>
          <w:rFonts w:hint="eastAsia" w:ascii="宋体" w:hAnsi="宋体" w:eastAsia="宋体" w:cs="宋体"/>
          <w:highlight w:val="none"/>
        </w:rPr>
        <w:t>九、法定代表人身份证明或授权委托书</w:t>
      </w:r>
    </w:p>
    <w:p w14:paraId="10874B74">
      <w:pPr>
        <w:pStyle w:val="397"/>
        <w:spacing w:after="100" w:afterAutospacing="1"/>
        <w:rPr>
          <w:rFonts w:hint="eastAsia" w:ascii="宋体" w:hAnsi="宋体" w:eastAsia="宋体" w:cs="宋体"/>
          <w:highlight w:val="none"/>
        </w:rPr>
      </w:pPr>
      <w:r>
        <w:rPr>
          <w:rFonts w:hint="eastAsia" w:ascii="宋体" w:hAnsi="宋体" w:eastAsia="宋体" w:cs="宋体"/>
          <w:highlight w:val="none"/>
        </w:rPr>
        <w:t>十、开标一览表</w:t>
      </w:r>
    </w:p>
    <w:p w14:paraId="31666387">
      <w:pPr>
        <w:pStyle w:val="397"/>
        <w:spacing w:after="100" w:afterAutospacing="1"/>
        <w:rPr>
          <w:rFonts w:hint="eastAsia" w:ascii="宋体" w:hAnsi="宋体" w:eastAsia="宋体" w:cs="宋体"/>
          <w:highlight w:val="none"/>
        </w:rPr>
      </w:pPr>
      <w:r>
        <w:rPr>
          <w:rFonts w:hint="eastAsia" w:ascii="宋体" w:hAnsi="宋体" w:eastAsia="宋体" w:cs="宋体"/>
          <w:highlight w:val="none"/>
        </w:rPr>
        <w:t>十一、明细报价表</w:t>
      </w:r>
    </w:p>
    <w:p w14:paraId="40050956">
      <w:pPr>
        <w:pStyle w:val="397"/>
        <w:spacing w:after="100" w:afterAutospacing="1"/>
        <w:rPr>
          <w:rFonts w:hint="eastAsia" w:ascii="宋体" w:hAnsi="宋体" w:eastAsia="宋体" w:cs="宋体"/>
          <w:highlight w:val="none"/>
        </w:rPr>
      </w:pPr>
      <w:r>
        <w:rPr>
          <w:rFonts w:hint="eastAsia" w:ascii="宋体" w:hAnsi="宋体" w:eastAsia="宋体" w:cs="宋体"/>
          <w:highlight w:val="none"/>
        </w:rPr>
        <w:t>十二、中小企业声明函</w:t>
      </w:r>
    </w:p>
    <w:p w14:paraId="1C43F32C">
      <w:pPr>
        <w:pStyle w:val="397"/>
        <w:spacing w:after="100" w:afterAutospacing="1"/>
        <w:rPr>
          <w:rFonts w:hint="eastAsia" w:ascii="宋体" w:hAnsi="宋体" w:eastAsia="宋体" w:cs="宋体"/>
          <w:highlight w:val="none"/>
        </w:rPr>
      </w:pPr>
      <w:r>
        <w:rPr>
          <w:rFonts w:hint="eastAsia" w:ascii="宋体" w:hAnsi="宋体" w:eastAsia="宋体" w:cs="宋体"/>
          <w:highlight w:val="none"/>
        </w:rPr>
        <w:t>十三、响应偏差表</w:t>
      </w:r>
    </w:p>
    <w:p w14:paraId="7AB2601E">
      <w:pPr>
        <w:pStyle w:val="397"/>
        <w:spacing w:after="100" w:afterAutospacing="1"/>
        <w:rPr>
          <w:rFonts w:hint="eastAsia" w:ascii="宋体" w:hAnsi="宋体" w:eastAsia="宋体" w:cs="宋体"/>
          <w:highlight w:val="none"/>
        </w:rPr>
      </w:pPr>
      <w:r>
        <w:rPr>
          <w:rFonts w:hint="eastAsia" w:ascii="宋体" w:hAnsi="宋体" w:eastAsia="宋体" w:cs="宋体"/>
          <w:highlight w:val="none"/>
        </w:rPr>
        <w:t>十</w:t>
      </w:r>
      <w:r>
        <w:rPr>
          <w:rFonts w:hint="eastAsia" w:ascii="宋体" w:hAnsi="宋体" w:eastAsia="宋体" w:cs="宋体"/>
          <w:highlight w:val="none"/>
          <w:lang w:val="en-US" w:eastAsia="zh-CN"/>
        </w:rPr>
        <w:t>四</w:t>
      </w:r>
      <w:r>
        <w:rPr>
          <w:rFonts w:hint="eastAsia" w:ascii="宋体" w:hAnsi="宋体" w:eastAsia="宋体" w:cs="宋体"/>
          <w:highlight w:val="none"/>
        </w:rPr>
        <w:t>、</w:t>
      </w:r>
      <w:bookmarkStart w:id="108" w:name="_Toc21060_WPSOffice_Level2"/>
      <w:r>
        <w:rPr>
          <w:rFonts w:hint="eastAsia" w:ascii="宋体" w:hAnsi="宋体" w:eastAsia="宋体" w:cs="宋体"/>
          <w:highlight w:val="none"/>
        </w:rPr>
        <w:t>服务方案</w:t>
      </w:r>
      <w:bookmarkEnd w:id="108"/>
    </w:p>
    <w:p w14:paraId="281E55D0">
      <w:pPr>
        <w:pStyle w:val="397"/>
        <w:spacing w:after="100" w:afterAutospacing="1"/>
        <w:rPr>
          <w:rFonts w:hint="eastAsia" w:ascii="宋体" w:hAnsi="宋体" w:eastAsia="宋体" w:cs="宋体"/>
          <w:highlight w:val="none"/>
        </w:rPr>
      </w:pPr>
      <w:r>
        <w:rPr>
          <w:rFonts w:hint="eastAsia" w:ascii="宋体" w:hAnsi="宋体" w:eastAsia="宋体" w:cs="宋体"/>
          <w:highlight w:val="none"/>
        </w:rPr>
        <w:t>十</w:t>
      </w:r>
      <w:r>
        <w:rPr>
          <w:rFonts w:hint="eastAsia" w:ascii="宋体" w:hAnsi="宋体" w:eastAsia="宋体" w:cs="宋体"/>
          <w:highlight w:val="none"/>
          <w:lang w:val="en-US" w:eastAsia="zh-CN"/>
        </w:rPr>
        <w:t>五</w:t>
      </w:r>
      <w:r>
        <w:rPr>
          <w:rFonts w:hint="eastAsia" w:ascii="宋体" w:hAnsi="宋体" w:eastAsia="宋体" w:cs="宋体"/>
          <w:highlight w:val="none"/>
        </w:rPr>
        <w:t>、投标人(或供货商、厂商)项目业绩一览表</w:t>
      </w:r>
    </w:p>
    <w:p w14:paraId="2ECECA3B">
      <w:pPr>
        <w:pStyle w:val="397"/>
        <w:spacing w:after="100" w:afterAutospacing="1"/>
        <w:rPr>
          <w:rFonts w:hint="eastAsia" w:ascii="宋体" w:hAnsi="宋体" w:eastAsia="宋体" w:cs="宋体"/>
          <w:highlight w:val="none"/>
        </w:rPr>
      </w:pPr>
      <w:r>
        <w:rPr>
          <w:rFonts w:hint="eastAsia" w:ascii="宋体" w:hAnsi="宋体" w:eastAsia="宋体" w:cs="宋体"/>
          <w:highlight w:val="none"/>
        </w:rPr>
        <w:t>十</w:t>
      </w:r>
      <w:r>
        <w:rPr>
          <w:rFonts w:hint="eastAsia" w:ascii="宋体" w:hAnsi="宋体" w:eastAsia="宋体" w:cs="宋体"/>
          <w:highlight w:val="none"/>
          <w:lang w:val="en-US" w:eastAsia="zh-CN"/>
        </w:rPr>
        <w:t>六</w:t>
      </w:r>
      <w:r>
        <w:rPr>
          <w:rFonts w:hint="eastAsia" w:ascii="宋体" w:hAnsi="宋体" w:eastAsia="宋体" w:cs="宋体"/>
          <w:highlight w:val="none"/>
        </w:rPr>
        <w:t>、投标所需其他材料</w:t>
      </w:r>
    </w:p>
    <w:p w14:paraId="4E30FFB7">
      <w:pPr>
        <w:rPr>
          <w:rFonts w:hint="eastAsia" w:ascii="宋体" w:hAnsi="宋体" w:cs="宋体"/>
          <w:highlight w:val="none"/>
        </w:rPr>
      </w:pPr>
    </w:p>
    <w:p w14:paraId="48CEF7DB">
      <w:pPr>
        <w:pStyle w:val="503"/>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09" w:name="_Toc23205_WPSOffice_Level2"/>
      <w:bookmarkStart w:id="110" w:name="_Toc199794498"/>
      <w:bookmarkStart w:id="111" w:name="_Toc21292"/>
      <w:bookmarkStart w:id="112" w:name="_Toc514054486"/>
      <w:r>
        <w:rPr>
          <w:rFonts w:hint="eastAsia" w:ascii="宋体" w:hAnsi="宋体" w:eastAsia="宋体" w:cs="宋体"/>
          <w:highlight w:val="none"/>
        </w:rPr>
        <w:t>一、投标人基本情况</w:t>
      </w:r>
      <w:bookmarkEnd w:id="109"/>
      <w:bookmarkEnd w:id="110"/>
      <w:bookmarkEnd w:id="111"/>
      <w:bookmarkEnd w:id="112"/>
    </w:p>
    <w:p w14:paraId="4707675F">
      <w:pPr>
        <w:pStyle w:val="453"/>
        <w:jc w:val="center"/>
        <w:rPr>
          <w:rFonts w:hint="eastAsia" w:ascii="宋体" w:hAnsi="宋体" w:cs="宋体"/>
          <w:sz w:val="44"/>
          <w:szCs w:val="44"/>
          <w:highlight w:val="none"/>
        </w:rPr>
      </w:pPr>
      <w:r>
        <w:rPr>
          <w:rFonts w:hint="eastAsia" w:ascii="宋体" w:hAnsi="宋体" w:cs="宋体"/>
          <w:sz w:val="44"/>
          <w:szCs w:val="44"/>
          <w:highlight w:val="none"/>
        </w:rPr>
        <w:t>投标人基本情况表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5A43F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215870D">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投标人名称</w:t>
            </w:r>
          </w:p>
        </w:tc>
        <w:tc>
          <w:tcPr>
            <w:tcW w:w="6998" w:type="dxa"/>
            <w:gridSpan w:val="3"/>
            <w:vAlign w:val="center"/>
          </w:tcPr>
          <w:p w14:paraId="0EEAA18B">
            <w:pPr>
              <w:pStyle w:val="453"/>
              <w:spacing w:line="600" w:lineRule="exact"/>
              <w:jc w:val="center"/>
              <w:rPr>
                <w:rFonts w:hint="eastAsia" w:ascii="宋体" w:hAnsi="宋体" w:cs="宋体"/>
                <w:sz w:val="24"/>
                <w:szCs w:val="24"/>
                <w:highlight w:val="none"/>
              </w:rPr>
            </w:pPr>
          </w:p>
        </w:tc>
      </w:tr>
      <w:tr w14:paraId="57B50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D7CF8C5">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法定代表人</w:t>
            </w:r>
          </w:p>
        </w:tc>
        <w:tc>
          <w:tcPr>
            <w:tcW w:w="3118" w:type="dxa"/>
            <w:vAlign w:val="center"/>
          </w:tcPr>
          <w:p w14:paraId="3E608784">
            <w:pPr>
              <w:pStyle w:val="453"/>
              <w:spacing w:line="600" w:lineRule="exact"/>
              <w:jc w:val="center"/>
              <w:rPr>
                <w:rFonts w:hint="eastAsia" w:ascii="宋体" w:hAnsi="宋体" w:cs="宋体"/>
                <w:sz w:val="24"/>
                <w:szCs w:val="24"/>
                <w:highlight w:val="none"/>
              </w:rPr>
            </w:pPr>
          </w:p>
        </w:tc>
        <w:tc>
          <w:tcPr>
            <w:tcW w:w="1276" w:type="dxa"/>
            <w:vAlign w:val="center"/>
          </w:tcPr>
          <w:p w14:paraId="183BA6CD">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注册地区</w:t>
            </w:r>
          </w:p>
        </w:tc>
        <w:tc>
          <w:tcPr>
            <w:tcW w:w="2604" w:type="dxa"/>
            <w:vAlign w:val="center"/>
          </w:tcPr>
          <w:p w14:paraId="437AC3C4">
            <w:pPr>
              <w:pStyle w:val="453"/>
              <w:spacing w:line="600" w:lineRule="exact"/>
              <w:jc w:val="center"/>
              <w:rPr>
                <w:rFonts w:hint="eastAsia" w:ascii="宋体" w:hAnsi="宋体" w:cs="宋体"/>
                <w:sz w:val="24"/>
                <w:szCs w:val="24"/>
                <w:highlight w:val="none"/>
              </w:rPr>
            </w:pPr>
          </w:p>
        </w:tc>
      </w:tr>
      <w:tr w14:paraId="34C1F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55CE2358">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地址</w:t>
            </w:r>
          </w:p>
        </w:tc>
        <w:tc>
          <w:tcPr>
            <w:tcW w:w="3118" w:type="dxa"/>
            <w:vAlign w:val="center"/>
          </w:tcPr>
          <w:p w14:paraId="602EBFE8">
            <w:pPr>
              <w:pStyle w:val="453"/>
              <w:spacing w:line="600" w:lineRule="exact"/>
              <w:jc w:val="center"/>
              <w:rPr>
                <w:rFonts w:hint="eastAsia" w:ascii="宋体" w:hAnsi="宋体" w:cs="宋体"/>
                <w:sz w:val="24"/>
                <w:szCs w:val="24"/>
                <w:highlight w:val="none"/>
              </w:rPr>
            </w:pPr>
          </w:p>
        </w:tc>
        <w:tc>
          <w:tcPr>
            <w:tcW w:w="1276" w:type="dxa"/>
            <w:vAlign w:val="center"/>
          </w:tcPr>
          <w:p w14:paraId="7C85186B">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邮政编码</w:t>
            </w:r>
          </w:p>
        </w:tc>
        <w:tc>
          <w:tcPr>
            <w:tcW w:w="2604" w:type="dxa"/>
            <w:vAlign w:val="center"/>
          </w:tcPr>
          <w:p w14:paraId="1906CBB7">
            <w:pPr>
              <w:pStyle w:val="453"/>
              <w:spacing w:line="600" w:lineRule="exact"/>
              <w:jc w:val="center"/>
              <w:rPr>
                <w:rFonts w:hint="eastAsia" w:ascii="宋体" w:hAnsi="宋体" w:cs="宋体"/>
                <w:sz w:val="24"/>
                <w:szCs w:val="24"/>
                <w:highlight w:val="none"/>
              </w:rPr>
            </w:pPr>
          </w:p>
        </w:tc>
      </w:tr>
      <w:tr w14:paraId="1B232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FEBC824">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成立时间</w:t>
            </w:r>
          </w:p>
        </w:tc>
        <w:tc>
          <w:tcPr>
            <w:tcW w:w="3118" w:type="dxa"/>
            <w:vAlign w:val="center"/>
          </w:tcPr>
          <w:p w14:paraId="6369BFA7">
            <w:pPr>
              <w:pStyle w:val="453"/>
              <w:spacing w:line="600" w:lineRule="exact"/>
              <w:jc w:val="center"/>
              <w:rPr>
                <w:rFonts w:hint="eastAsia" w:ascii="宋体" w:hAnsi="宋体" w:cs="宋体"/>
                <w:sz w:val="24"/>
                <w:szCs w:val="24"/>
                <w:highlight w:val="none"/>
              </w:rPr>
            </w:pPr>
          </w:p>
        </w:tc>
        <w:tc>
          <w:tcPr>
            <w:tcW w:w="1276" w:type="dxa"/>
            <w:vAlign w:val="center"/>
          </w:tcPr>
          <w:p w14:paraId="6AEA5ACF">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单位性质</w:t>
            </w:r>
          </w:p>
        </w:tc>
        <w:tc>
          <w:tcPr>
            <w:tcW w:w="2604" w:type="dxa"/>
            <w:vAlign w:val="center"/>
          </w:tcPr>
          <w:p w14:paraId="3BAA9BAE">
            <w:pPr>
              <w:pStyle w:val="453"/>
              <w:spacing w:line="600" w:lineRule="exact"/>
              <w:jc w:val="center"/>
              <w:rPr>
                <w:rFonts w:hint="eastAsia" w:ascii="宋体" w:hAnsi="宋体" w:cs="宋体"/>
                <w:sz w:val="24"/>
                <w:szCs w:val="24"/>
                <w:highlight w:val="none"/>
              </w:rPr>
            </w:pPr>
          </w:p>
        </w:tc>
      </w:tr>
      <w:tr w14:paraId="756E2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F5C6C12">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注册号或社会信用代码</w:t>
            </w:r>
          </w:p>
        </w:tc>
        <w:tc>
          <w:tcPr>
            <w:tcW w:w="3118" w:type="dxa"/>
            <w:vAlign w:val="center"/>
          </w:tcPr>
          <w:p w14:paraId="07AAC77C">
            <w:pPr>
              <w:pStyle w:val="453"/>
              <w:spacing w:line="600" w:lineRule="exact"/>
              <w:jc w:val="center"/>
              <w:rPr>
                <w:rFonts w:hint="eastAsia" w:ascii="宋体" w:hAnsi="宋体" w:cs="宋体"/>
                <w:sz w:val="24"/>
                <w:szCs w:val="24"/>
                <w:highlight w:val="none"/>
              </w:rPr>
            </w:pPr>
          </w:p>
        </w:tc>
        <w:tc>
          <w:tcPr>
            <w:tcW w:w="1276" w:type="dxa"/>
            <w:vAlign w:val="center"/>
          </w:tcPr>
          <w:p w14:paraId="3DB38476">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注册资本（万元）</w:t>
            </w:r>
          </w:p>
        </w:tc>
        <w:tc>
          <w:tcPr>
            <w:tcW w:w="2604" w:type="dxa"/>
            <w:vAlign w:val="center"/>
          </w:tcPr>
          <w:p w14:paraId="2AED8759">
            <w:pPr>
              <w:pStyle w:val="453"/>
              <w:spacing w:line="600" w:lineRule="exact"/>
              <w:jc w:val="center"/>
              <w:rPr>
                <w:rFonts w:hint="eastAsia" w:ascii="宋体" w:hAnsi="宋体" w:cs="宋体"/>
                <w:sz w:val="24"/>
                <w:szCs w:val="24"/>
                <w:highlight w:val="none"/>
              </w:rPr>
            </w:pPr>
          </w:p>
        </w:tc>
      </w:tr>
      <w:tr w14:paraId="212F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1E76D477">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开户银行</w:t>
            </w:r>
          </w:p>
        </w:tc>
        <w:tc>
          <w:tcPr>
            <w:tcW w:w="3118" w:type="dxa"/>
            <w:vAlign w:val="center"/>
          </w:tcPr>
          <w:p w14:paraId="4FC19001">
            <w:pPr>
              <w:pStyle w:val="453"/>
              <w:spacing w:line="600" w:lineRule="exact"/>
              <w:jc w:val="center"/>
              <w:rPr>
                <w:rFonts w:hint="eastAsia" w:ascii="宋体" w:hAnsi="宋体" w:cs="宋体"/>
                <w:sz w:val="24"/>
                <w:szCs w:val="24"/>
                <w:highlight w:val="none"/>
              </w:rPr>
            </w:pPr>
          </w:p>
        </w:tc>
        <w:tc>
          <w:tcPr>
            <w:tcW w:w="1276" w:type="dxa"/>
            <w:vAlign w:val="center"/>
          </w:tcPr>
          <w:p w14:paraId="4FBE47BC">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账号</w:t>
            </w:r>
          </w:p>
        </w:tc>
        <w:tc>
          <w:tcPr>
            <w:tcW w:w="2604" w:type="dxa"/>
            <w:vAlign w:val="center"/>
          </w:tcPr>
          <w:p w14:paraId="51D2DB2D">
            <w:pPr>
              <w:pStyle w:val="453"/>
              <w:spacing w:line="600" w:lineRule="exact"/>
              <w:jc w:val="center"/>
              <w:rPr>
                <w:rFonts w:hint="eastAsia" w:ascii="宋体" w:hAnsi="宋体" w:cs="宋体"/>
                <w:sz w:val="24"/>
                <w:szCs w:val="24"/>
                <w:highlight w:val="none"/>
              </w:rPr>
            </w:pPr>
          </w:p>
        </w:tc>
      </w:tr>
      <w:tr w14:paraId="6B617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9BA05B4">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联系人</w:t>
            </w:r>
          </w:p>
        </w:tc>
        <w:tc>
          <w:tcPr>
            <w:tcW w:w="3118" w:type="dxa"/>
            <w:vAlign w:val="center"/>
          </w:tcPr>
          <w:p w14:paraId="6079A474">
            <w:pPr>
              <w:pStyle w:val="453"/>
              <w:spacing w:line="600" w:lineRule="exact"/>
              <w:jc w:val="center"/>
              <w:rPr>
                <w:rFonts w:hint="eastAsia" w:ascii="宋体" w:hAnsi="宋体" w:cs="宋体"/>
                <w:sz w:val="24"/>
                <w:szCs w:val="24"/>
                <w:highlight w:val="none"/>
              </w:rPr>
            </w:pPr>
          </w:p>
        </w:tc>
        <w:tc>
          <w:tcPr>
            <w:tcW w:w="1276" w:type="dxa"/>
            <w:vAlign w:val="center"/>
          </w:tcPr>
          <w:p w14:paraId="35A6DCB8">
            <w:pPr>
              <w:pStyle w:val="453"/>
              <w:spacing w:line="600" w:lineRule="exact"/>
              <w:jc w:val="center"/>
              <w:rPr>
                <w:rFonts w:hint="eastAsia" w:ascii="宋体" w:hAnsi="宋体" w:cs="宋体"/>
                <w:sz w:val="24"/>
                <w:szCs w:val="24"/>
                <w:highlight w:val="none"/>
              </w:rPr>
            </w:pPr>
            <w:r>
              <w:rPr>
                <w:rFonts w:hint="eastAsia" w:ascii="宋体" w:hAnsi="宋体" w:cs="宋体"/>
                <w:sz w:val="24"/>
                <w:szCs w:val="24"/>
                <w:highlight w:val="none"/>
              </w:rPr>
              <w:t>联系电话</w:t>
            </w:r>
          </w:p>
        </w:tc>
        <w:tc>
          <w:tcPr>
            <w:tcW w:w="2604" w:type="dxa"/>
            <w:vAlign w:val="center"/>
          </w:tcPr>
          <w:p w14:paraId="5D6E4BDE">
            <w:pPr>
              <w:pStyle w:val="453"/>
              <w:spacing w:line="600" w:lineRule="exact"/>
              <w:jc w:val="center"/>
              <w:rPr>
                <w:rFonts w:hint="eastAsia" w:ascii="宋体" w:hAnsi="宋体" w:cs="宋体"/>
                <w:sz w:val="24"/>
                <w:szCs w:val="24"/>
                <w:highlight w:val="none"/>
              </w:rPr>
            </w:pPr>
          </w:p>
        </w:tc>
      </w:tr>
      <w:tr w14:paraId="350F0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14:paraId="1579A5FA">
            <w:pPr>
              <w:pStyle w:val="453"/>
              <w:spacing w:line="560" w:lineRule="exact"/>
              <w:jc w:val="center"/>
              <w:rPr>
                <w:rFonts w:hint="eastAsia" w:ascii="宋体" w:hAnsi="宋体" w:cs="宋体"/>
                <w:sz w:val="24"/>
                <w:szCs w:val="24"/>
                <w:highlight w:val="none"/>
              </w:rPr>
            </w:pPr>
            <w:r>
              <w:rPr>
                <w:rFonts w:hint="eastAsia" w:ascii="宋体" w:hAnsi="宋体" w:cs="宋体"/>
                <w:sz w:val="24"/>
                <w:szCs w:val="24"/>
                <w:highlight w:val="none"/>
              </w:rPr>
              <w:t>经营范围</w:t>
            </w:r>
          </w:p>
        </w:tc>
        <w:tc>
          <w:tcPr>
            <w:tcW w:w="6998" w:type="dxa"/>
            <w:gridSpan w:val="3"/>
          </w:tcPr>
          <w:p w14:paraId="76E11C7E">
            <w:pPr>
              <w:pStyle w:val="453"/>
              <w:spacing w:line="560" w:lineRule="exact"/>
              <w:ind w:firstLine="1432"/>
              <w:rPr>
                <w:rFonts w:hint="eastAsia" w:ascii="宋体" w:hAnsi="宋体" w:cs="宋体"/>
                <w:sz w:val="24"/>
                <w:szCs w:val="24"/>
                <w:highlight w:val="none"/>
              </w:rPr>
            </w:pPr>
          </w:p>
        </w:tc>
      </w:tr>
      <w:tr w14:paraId="36317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14:paraId="1BD4B5F3">
            <w:pPr>
              <w:pStyle w:val="453"/>
              <w:spacing w:line="560" w:lineRule="exact"/>
              <w:jc w:val="center"/>
              <w:rPr>
                <w:rFonts w:hint="eastAsia" w:ascii="宋体" w:hAnsi="宋体" w:cs="宋体"/>
                <w:sz w:val="24"/>
                <w:szCs w:val="24"/>
                <w:highlight w:val="none"/>
              </w:rPr>
            </w:pPr>
            <w:r>
              <w:rPr>
                <w:rFonts w:hint="eastAsia" w:ascii="宋体" w:hAnsi="宋体" w:cs="宋体"/>
                <w:sz w:val="24"/>
                <w:szCs w:val="24"/>
                <w:highlight w:val="none"/>
              </w:rPr>
              <w:t>备注</w:t>
            </w:r>
          </w:p>
        </w:tc>
        <w:tc>
          <w:tcPr>
            <w:tcW w:w="6998" w:type="dxa"/>
            <w:gridSpan w:val="3"/>
            <w:vAlign w:val="center"/>
          </w:tcPr>
          <w:p w14:paraId="4A54E712">
            <w:pPr>
              <w:pStyle w:val="453"/>
              <w:spacing w:line="500" w:lineRule="exact"/>
              <w:jc w:val="center"/>
              <w:rPr>
                <w:rFonts w:hint="eastAsia" w:ascii="宋体" w:hAnsi="宋体" w:cs="宋体"/>
                <w:sz w:val="24"/>
                <w:szCs w:val="24"/>
                <w:highlight w:val="none"/>
              </w:rPr>
            </w:pPr>
          </w:p>
        </w:tc>
      </w:tr>
    </w:tbl>
    <w:p w14:paraId="2272D946">
      <w:pPr>
        <w:pStyle w:val="453"/>
        <w:spacing w:line="560" w:lineRule="exact"/>
        <w:jc w:val="center"/>
        <w:rPr>
          <w:rFonts w:hint="eastAsia" w:ascii="宋体" w:hAnsi="宋体" w:cs="宋体"/>
          <w:bCs/>
          <w:sz w:val="32"/>
          <w:szCs w:val="32"/>
          <w:highlight w:val="none"/>
        </w:rPr>
      </w:pPr>
    </w:p>
    <w:p w14:paraId="2B0623E1">
      <w:pPr>
        <w:pStyle w:val="491"/>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13" w:name="_Toc514054487"/>
      <w:bookmarkStart w:id="114" w:name="_Toc30260_WPSOffice_Level2"/>
      <w:bookmarkStart w:id="115" w:name="_Toc199794499"/>
      <w:bookmarkStart w:id="116" w:name="_Toc15353"/>
      <w:r>
        <w:rPr>
          <w:rFonts w:hint="eastAsia" w:ascii="宋体" w:hAnsi="宋体" w:eastAsia="宋体" w:cs="宋体"/>
          <w:highlight w:val="none"/>
        </w:rPr>
        <w:t>二、投标人资质</w:t>
      </w:r>
      <w:bookmarkEnd w:id="113"/>
      <w:bookmarkEnd w:id="114"/>
      <w:r>
        <w:rPr>
          <w:rFonts w:hint="eastAsia" w:ascii="宋体" w:hAnsi="宋体" w:eastAsia="宋体" w:cs="宋体"/>
          <w:highlight w:val="none"/>
        </w:rPr>
        <w:t>（按资格要求提供）</w:t>
      </w:r>
      <w:bookmarkEnd w:id="115"/>
      <w:bookmarkEnd w:id="116"/>
    </w:p>
    <w:p w14:paraId="259B333A">
      <w:pPr>
        <w:pStyle w:val="557"/>
        <w:rPr>
          <w:rFonts w:hint="eastAsia" w:ascii="宋体" w:hAnsi="宋体" w:eastAsia="宋体" w:cs="宋体"/>
          <w:highlight w:val="none"/>
        </w:rPr>
      </w:pPr>
      <w:r>
        <w:rPr>
          <w:rFonts w:hint="eastAsia" w:ascii="宋体" w:hAnsi="宋体" w:eastAsia="宋体" w:cs="宋体"/>
          <w:highlight w:val="none"/>
        </w:rPr>
        <w:t xml:space="preserve">    </w:t>
      </w:r>
      <w:bookmarkStart w:id="117" w:name="_Toc21452_WPSOffice_Level2"/>
      <w:bookmarkStart w:id="118" w:name="_Toc514054488"/>
    </w:p>
    <w:p w14:paraId="4E08EC4B">
      <w:pPr>
        <w:pStyle w:val="557"/>
        <w:rPr>
          <w:rFonts w:hint="eastAsia" w:ascii="宋体" w:hAnsi="宋体" w:eastAsia="宋体" w:cs="宋体"/>
          <w:highlight w:val="none"/>
        </w:rPr>
      </w:pPr>
    </w:p>
    <w:p w14:paraId="475DEA3D">
      <w:pPr>
        <w:pStyle w:val="557"/>
        <w:rPr>
          <w:rFonts w:hint="eastAsia" w:ascii="宋体" w:hAnsi="宋体" w:eastAsia="宋体" w:cs="宋体"/>
          <w:highlight w:val="none"/>
        </w:rPr>
      </w:pPr>
    </w:p>
    <w:p w14:paraId="78EFFCB3">
      <w:pPr>
        <w:pStyle w:val="557"/>
        <w:rPr>
          <w:rFonts w:hint="eastAsia" w:ascii="宋体" w:hAnsi="宋体" w:eastAsia="宋体" w:cs="宋体"/>
          <w:highlight w:val="none"/>
        </w:rPr>
      </w:pPr>
    </w:p>
    <w:p w14:paraId="29BE575D">
      <w:pPr>
        <w:pStyle w:val="557"/>
        <w:rPr>
          <w:rFonts w:hint="eastAsia" w:ascii="宋体" w:hAnsi="宋体" w:eastAsia="宋体" w:cs="宋体"/>
          <w:highlight w:val="none"/>
        </w:rPr>
      </w:pPr>
    </w:p>
    <w:p w14:paraId="062A59D7">
      <w:pPr>
        <w:pStyle w:val="557"/>
        <w:rPr>
          <w:rFonts w:hint="eastAsia" w:ascii="宋体" w:hAnsi="宋体" w:eastAsia="宋体" w:cs="宋体"/>
          <w:highlight w:val="none"/>
        </w:rPr>
      </w:pPr>
    </w:p>
    <w:p w14:paraId="21C5326C">
      <w:pPr>
        <w:pStyle w:val="557"/>
        <w:rPr>
          <w:rFonts w:hint="eastAsia" w:ascii="宋体" w:hAnsi="宋体" w:eastAsia="宋体" w:cs="宋体"/>
          <w:highlight w:val="none"/>
        </w:rPr>
      </w:pPr>
    </w:p>
    <w:p w14:paraId="252C1E3F">
      <w:pPr>
        <w:pStyle w:val="557"/>
        <w:rPr>
          <w:rFonts w:hint="eastAsia" w:ascii="宋体" w:hAnsi="宋体" w:eastAsia="宋体" w:cs="宋体"/>
          <w:highlight w:val="none"/>
        </w:rPr>
      </w:pPr>
    </w:p>
    <w:p w14:paraId="28911587">
      <w:pPr>
        <w:pStyle w:val="557"/>
        <w:rPr>
          <w:rFonts w:hint="eastAsia" w:ascii="宋体" w:hAnsi="宋体" w:eastAsia="宋体" w:cs="宋体"/>
          <w:highlight w:val="none"/>
        </w:rPr>
      </w:pPr>
    </w:p>
    <w:p w14:paraId="60F3B030">
      <w:pPr>
        <w:pStyle w:val="557"/>
        <w:rPr>
          <w:rFonts w:hint="eastAsia" w:ascii="宋体" w:hAnsi="宋体" w:eastAsia="宋体" w:cs="宋体"/>
          <w:highlight w:val="none"/>
        </w:rPr>
      </w:pPr>
    </w:p>
    <w:p w14:paraId="7FBAFA99">
      <w:pPr>
        <w:pStyle w:val="557"/>
        <w:rPr>
          <w:rFonts w:hint="eastAsia" w:ascii="宋体" w:hAnsi="宋体" w:eastAsia="宋体" w:cs="宋体"/>
          <w:highlight w:val="none"/>
        </w:rPr>
      </w:pPr>
    </w:p>
    <w:p w14:paraId="432CC5A1">
      <w:pPr>
        <w:pStyle w:val="557"/>
        <w:rPr>
          <w:rFonts w:hint="eastAsia" w:ascii="宋体" w:hAnsi="宋体" w:eastAsia="宋体" w:cs="宋体"/>
          <w:highlight w:val="none"/>
        </w:rPr>
      </w:pPr>
    </w:p>
    <w:p w14:paraId="27A689AE">
      <w:pPr>
        <w:pStyle w:val="557"/>
        <w:rPr>
          <w:rFonts w:hint="eastAsia" w:ascii="宋体" w:hAnsi="宋体" w:eastAsia="宋体" w:cs="宋体"/>
          <w:highlight w:val="none"/>
        </w:rPr>
      </w:pPr>
    </w:p>
    <w:p w14:paraId="3AFCAA09">
      <w:pPr>
        <w:pStyle w:val="557"/>
        <w:rPr>
          <w:rFonts w:hint="eastAsia" w:ascii="宋体" w:hAnsi="宋体" w:eastAsia="宋体" w:cs="宋体"/>
          <w:highlight w:val="none"/>
        </w:rPr>
      </w:pPr>
    </w:p>
    <w:p w14:paraId="0A13DC3C">
      <w:pPr>
        <w:pStyle w:val="557"/>
        <w:rPr>
          <w:rFonts w:hint="eastAsia" w:ascii="宋体" w:hAnsi="宋体" w:eastAsia="宋体" w:cs="宋体"/>
          <w:highlight w:val="none"/>
        </w:rPr>
      </w:pPr>
    </w:p>
    <w:p w14:paraId="36F4AFC8">
      <w:pPr>
        <w:pStyle w:val="557"/>
        <w:rPr>
          <w:rFonts w:hint="eastAsia" w:ascii="宋体" w:hAnsi="宋体" w:eastAsia="宋体" w:cs="宋体"/>
          <w:highlight w:val="none"/>
        </w:rPr>
      </w:pPr>
    </w:p>
    <w:p w14:paraId="64085828">
      <w:pPr>
        <w:pStyle w:val="557"/>
        <w:rPr>
          <w:rFonts w:hint="eastAsia" w:ascii="宋体" w:hAnsi="宋体" w:eastAsia="宋体" w:cs="宋体"/>
          <w:highlight w:val="none"/>
        </w:rPr>
      </w:pPr>
    </w:p>
    <w:p w14:paraId="2F2AE1D4">
      <w:pPr>
        <w:pStyle w:val="557"/>
        <w:rPr>
          <w:rFonts w:hint="eastAsia" w:ascii="宋体" w:hAnsi="宋体" w:eastAsia="宋体" w:cs="宋体"/>
          <w:highlight w:val="none"/>
        </w:rPr>
      </w:pPr>
    </w:p>
    <w:p w14:paraId="1B26600E">
      <w:pPr>
        <w:pStyle w:val="557"/>
        <w:rPr>
          <w:rFonts w:hint="eastAsia" w:ascii="宋体" w:hAnsi="宋体" w:eastAsia="宋体" w:cs="宋体"/>
          <w:highlight w:val="none"/>
        </w:rPr>
      </w:pPr>
    </w:p>
    <w:p w14:paraId="2A3FAAFD">
      <w:pPr>
        <w:rPr>
          <w:rFonts w:hint="eastAsia" w:ascii="宋体" w:hAnsi="宋体" w:cs="宋体"/>
          <w:highlight w:val="none"/>
        </w:rPr>
      </w:pPr>
      <w:r>
        <w:rPr>
          <w:rFonts w:hint="eastAsia" w:ascii="宋体" w:hAnsi="宋体" w:cs="宋体"/>
          <w:highlight w:val="none"/>
        </w:rPr>
        <w:br w:type="page" w:clear="all"/>
      </w:r>
    </w:p>
    <w:p w14:paraId="678F84B3">
      <w:pPr>
        <w:pStyle w:val="557"/>
        <w:rPr>
          <w:rFonts w:hint="eastAsia" w:ascii="宋体" w:hAnsi="宋体" w:eastAsia="宋体" w:cs="宋体"/>
          <w:highlight w:val="none"/>
        </w:rPr>
      </w:pPr>
    </w:p>
    <w:p w14:paraId="07E2AA3C">
      <w:pPr>
        <w:pStyle w:val="557"/>
        <w:rPr>
          <w:rFonts w:hint="eastAsia" w:ascii="宋体" w:hAnsi="宋体" w:eastAsia="宋体" w:cs="宋体"/>
          <w:highlight w:val="none"/>
        </w:rPr>
      </w:pPr>
    </w:p>
    <w:p w14:paraId="1DA98628">
      <w:pPr>
        <w:pStyle w:val="557"/>
        <w:outlineLvl w:val="1"/>
        <w:rPr>
          <w:rFonts w:hint="eastAsia" w:ascii="宋体" w:hAnsi="宋体" w:eastAsia="宋体" w:cs="宋体"/>
          <w:highlight w:val="none"/>
        </w:rPr>
      </w:pPr>
      <w:bookmarkStart w:id="119" w:name="_Toc18935"/>
      <w:bookmarkStart w:id="120" w:name="_Toc199794500"/>
      <w:r>
        <w:rPr>
          <w:rFonts w:hint="eastAsia" w:ascii="宋体" w:hAnsi="宋体" w:eastAsia="宋体" w:cs="宋体"/>
          <w:highlight w:val="none"/>
        </w:rPr>
        <w:t>三、投标人</w:t>
      </w:r>
      <w:bookmarkEnd w:id="117"/>
      <w:bookmarkEnd w:id="118"/>
      <w:bookmarkEnd w:id="119"/>
      <w:r>
        <w:rPr>
          <w:rFonts w:hint="eastAsia" w:ascii="宋体" w:hAnsi="宋体" w:eastAsia="宋体" w:cs="宋体"/>
          <w:bCs/>
          <w:highlight w:val="none"/>
        </w:rPr>
        <w:t>具有良好的商业信誉和健全的财务会计制度</w:t>
      </w:r>
      <w:bookmarkEnd w:id="120"/>
    </w:p>
    <w:p w14:paraId="0B8C7584">
      <w:pPr>
        <w:pStyle w:val="614"/>
        <w:rPr>
          <w:rFonts w:hint="eastAsia" w:ascii="宋体" w:hAnsi="宋体" w:cs="宋体"/>
          <w:highlight w:val="none"/>
        </w:rPr>
      </w:pPr>
      <w:r>
        <w:rPr>
          <w:rFonts w:hint="eastAsia" w:ascii="宋体" w:hAnsi="宋体" w:cs="宋体"/>
          <w:bCs/>
          <w:szCs w:val="32"/>
          <w:highlight w:val="none"/>
        </w:rPr>
        <w:t>提供符合招标文件要求的资料</w:t>
      </w:r>
    </w:p>
    <w:p w14:paraId="2684F949">
      <w:pPr>
        <w:pStyle w:val="651"/>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21" w:name="_Toc29626"/>
      <w:bookmarkStart w:id="122" w:name="_Toc11562_WPSOffice_Level2"/>
      <w:bookmarkStart w:id="123" w:name="_Toc514054489"/>
      <w:bookmarkStart w:id="124" w:name="_Toc199794501"/>
      <w:r>
        <w:rPr>
          <w:rFonts w:hint="eastAsia" w:ascii="宋体" w:hAnsi="宋体" w:eastAsia="宋体" w:cs="宋体"/>
          <w:highlight w:val="none"/>
        </w:rPr>
        <w:t>四、</w:t>
      </w:r>
      <w:bookmarkEnd w:id="121"/>
      <w:bookmarkEnd w:id="122"/>
      <w:bookmarkEnd w:id="123"/>
      <w:r>
        <w:rPr>
          <w:rFonts w:hint="eastAsia" w:ascii="宋体" w:hAnsi="宋体" w:eastAsia="宋体" w:cs="宋体"/>
          <w:bCs/>
          <w:highlight w:val="none"/>
        </w:rPr>
        <w:t>具有履行合同所必需的设备和专业技术能力</w:t>
      </w:r>
      <w:bookmarkEnd w:id="124"/>
    </w:p>
    <w:p w14:paraId="565C1F10">
      <w:pPr>
        <w:pStyle w:val="389"/>
        <w:spacing w:line="600" w:lineRule="exact"/>
        <w:jc w:val="center"/>
        <w:rPr>
          <w:rFonts w:hint="eastAsia" w:ascii="宋体" w:hAnsi="宋体" w:cs="宋体"/>
          <w:b/>
          <w:sz w:val="32"/>
          <w:szCs w:val="24"/>
          <w:highlight w:val="none"/>
        </w:rPr>
      </w:pPr>
      <w:bookmarkStart w:id="125" w:name="_Toc31740_WPSOffice_Level2"/>
    </w:p>
    <w:p w14:paraId="272095D6">
      <w:pPr>
        <w:pStyle w:val="389"/>
        <w:spacing w:line="600" w:lineRule="exact"/>
        <w:jc w:val="center"/>
        <w:rPr>
          <w:rFonts w:hint="eastAsia" w:ascii="宋体" w:hAnsi="宋体" w:cs="宋体"/>
          <w:b/>
          <w:sz w:val="32"/>
          <w:szCs w:val="24"/>
          <w:highlight w:val="none"/>
        </w:rPr>
      </w:pPr>
      <w:r>
        <w:rPr>
          <w:rFonts w:hint="eastAsia" w:ascii="宋体" w:hAnsi="宋体" w:cs="宋体"/>
          <w:b/>
          <w:sz w:val="32"/>
          <w:szCs w:val="24"/>
          <w:highlight w:val="none"/>
        </w:rPr>
        <w:t>具备履行合同所必需的设备和专业技术能力的声明</w:t>
      </w:r>
      <w:bookmarkEnd w:id="125"/>
    </w:p>
    <w:p w14:paraId="2820F13C">
      <w:pPr>
        <w:pStyle w:val="389"/>
        <w:spacing w:line="600" w:lineRule="exact"/>
        <w:rPr>
          <w:rFonts w:hint="eastAsia" w:ascii="宋体" w:hAnsi="宋体" w:cs="宋体"/>
          <w:sz w:val="24"/>
          <w:highlight w:val="none"/>
          <w:u w:val="single"/>
        </w:rPr>
      </w:pPr>
    </w:p>
    <w:p w14:paraId="12D35102">
      <w:pPr>
        <w:pStyle w:val="389"/>
        <w:spacing w:line="600" w:lineRule="exact"/>
        <w:rPr>
          <w:rFonts w:hint="eastAsia" w:ascii="宋体" w:hAnsi="宋体" w:cs="宋体"/>
          <w:sz w:val="24"/>
          <w:highlight w:val="none"/>
        </w:rPr>
      </w:pPr>
      <w:r>
        <w:rPr>
          <w:rFonts w:hint="eastAsia" w:ascii="宋体" w:hAnsi="宋体" w:cs="宋体"/>
          <w:sz w:val="24"/>
          <w:highlight w:val="none"/>
          <w:u w:val="single"/>
        </w:rPr>
        <w:t>（采购单位）</w:t>
      </w:r>
      <w:r>
        <w:rPr>
          <w:rFonts w:hint="eastAsia" w:ascii="宋体" w:hAnsi="宋体" w:cs="宋体"/>
          <w:sz w:val="24"/>
          <w:highlight w:val="none"/>
        </w:rPr>
        <w:t>：</w:t>
      </w:r>
    </w:p>
    <w:p w14:paraId="4FD774C5">
      <w:pPr>
        <w:pStyle w:val="389"/>
        <w:spacing w:line="600" w:lineRule="exact"/>
        <w:rPr>
          <w:rFonts w:hint="eastAsia" w:ascii="宋体" w:hAnsi="宋体" w:cs="宋体"/>
          <w:sz w:val="24"/>
          <w:highlight w:val="none"/>
        </w:rPr>
      </w:pPr>
      <w:r>
        <w:rPr>
          <w:rFonts w:hint="eastAsia" w:ascii="宋体" w:hAnsi="宋体" w:cs="宋体"/>
          <w:sz w:val="24"/>
          <w:highlight w:val="none"/>
        </w:rPr>
        <w:t xml:space="preserve">   我公司具备履行编号为</w:t>
      </w:r>
      <w:r>
        <w:rPr>
          <w:rFonts w:hint="eastAsia" w:ascii="宋体" w:hAnsi="宋体" w:cs="宋体"/>
          <w:sz w:val="24"/>
          <w:highlight w:val="none"/>
          <w:u w:val="single"/>
        </w:rPr>
        <w:t xml:space="preserve">       号           项目</w:t>
      </w:r>
      <w:r>
        <w:rPr>
          <w:rFonts w:hint="eastAsia" w:ascii="宋体" w:hAnsi="宋体" w:cs="宋体"/>
          <w:sz w:val="24"/>
          <w:highlight w:val="none"/>
        </w:rPr>
        <w:t>合同的设备和专业技术能力。</w:t>
      </w:r>
    </w:p>
    <w:p w14:paraId="17A78881">
      <w:pPr>
        <w:pStyle w:val="389"/>
        <w:spacing w:line="600" w:lineRule="exact"/>
        <w:ind w:firstLine="480"/>
        <w:rPr>
          <w:rFonts w:hint="eastAsia" w:ascii="宋体" w:hAnsi="宋体" w:cs="宋体"/>
          <w:sz w:val="24"/>
          <w:highlight w:val="none"/>
        </w:rPr>
      </w:pPr>
      <w:r>
        <w:rPr>
          <w:rFonts w:hint="eastAsia" w:ascii="宋体" w:hAnsi="宋体" w:cs="宋体"/>
          <w:sz w:val="24"/>
          <w:highlight w:val="none"/>
        </w:rPr>
        <w:t>特此声明。</w:t>
      </w:r>
    </w:p>
    <w:p w14:paraId="112C75AA">
      <w:pPr>
        <w:pStyle w:val="389"/>
        <w:spacing w:line="600" w:lineRule="exact"/>
        <w:ind w:firstLine="480"/>
        <w:rPr>
          <w:rFonts w:hint="eastAsia" w:ascii="宋体" w:hAnsi="宋体" w:cs="宋体"/>
          <w:sz w:val="24"/>
          <w:highlight w:val="none"/>
        </w:rPr>
      </w:pPr>
    </w:p>
    <w:p w14:paraId="71AAA218">
      <w:pPr>
        <w:pStyle w:val="389"/>
        <w:spacing w:line="600" w:lineRule="exact"/>
        <w:jc w:val="center"/>
        <w:rPr>
          <w:rFonts w:hint="eastAsia" w:ascii="宋体" w:hAnsi="宋体" w:cs="宋体"/>
          <w:b/>
          <w:bCs/>
          <w:sz w:val="32"/>
          <w:szCs w:val="32"/>
          <w:highlight w:val="none"/>
        </w:rPr>
      </w:pPr>
    </w:p>
    <w:p w14:paraId="3A195A6C">
      <w:pPr>
        <w:pStyle w:val="382"/>
        <w:spacing w:line="700" w:lineRule="exact"/>
        <w:ind w:firstLine="629"/>
        <w:rPr>
          <w:rFonts w:hint="eastAsia" w:ascii="宋体" w:hAnsi="宋体" w:cs="宋体"/>
          <w:sz w:val="24"/>
          <w:highlight w:val="none"/>
          <w:u w:val="single"/>
        </w:rPr>
      </w:pPr>
      <w:r>
        <w:rPr>
          <w:rFonts w:hint="eastAsia" w:ascii="宋体" w:hAnsi="宋体" w:cs="宋体"/>
          <w:sz w:val="24"/>
          <w:highlight w:val="none"/>
        </w:rPr>
        <w:t>单位名称：</w:t>
      </w:r>
      <w:r>
        <w:rPr>
          <w:rFonts w:hint="eastAsia" w:ascii="宋体" w:hAnsi="宋体" w:cs="宋体"/>
          <w:highlight w:val="none"/>
          <w:u w:val="single"/>
        </w:rPr>
        <w:t>（加盖公章）</w:t>
      </w:r>
    </w:p>
    <w:p w14:paraId="79AEA3B1">
      <w:pPr>
        <w:pStyle w:val="382"/>
        <w:spacing w:line="700" w:lineRule="exact"/>
        <w:ind w:firstLine="629"/>
        <w:rPr>
          <w:rFonts w:hint="eastAsia" w:ascii="宋体" w:hAnsi="宋体" w:cs="宋体"/>
          <w:sz w:val="24"/>
          <w:highlight w:val="none"/>
        </w:rPr>
      </w:pPr>
      <w:r>
        <w:rPr>
          <w:rFonts w:hint="eastAsia" w:ascii="宋体" w:hAnsi="宋体" w:cs="宋体"/>
          <w:sz w:val="24"/>
          <w:highlight w:val="none"/>
        </w:rPr>
        <w:t>法定代表人（或授权代表）：（签字或签章）</w:t>
      </w:r>
      <w:r>
        <w:rPr>
          <w:rFonts w:hint="eastAsia" w:ascii="宋体" w:hAnsi="宋体" w:cs="宋体"/>
          <w:sz w:val="24"/>
          <w:highlight w:val="none"/>
          <w:u w:val="single"/>
        </w:rPr>
        <w:t xml:space="preserve">              </w:t>
      </w:r>
    </w:p>
    <w:p w14:paraId="3BCAC1ED">
      <w:pPr>
        <w:pStyle w:val="584"/>
        <w:ind w:firstLine="720"/>
        <w:rPr>
          <w:rFonts w:hint="eastAsia" w:ascii="宋体" w:hAnsi="宋体" w:cs="宋体"/>
          <w:highlight w:val="none"/>
        </w:rPr>
      </w:pP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C7E680D">
      <w:pPr>
        <w:pStyle w:val="397"/>
        <w:spacing w:after="100" w:afterAutospacing="1"/>
        <w:rPr>
          <w:rFonts w:hint="eastAsia" w:ascii="宋体" w:hAnsi="宋体" w:eastAsia="宋体" w:cs="宋体"/>
          <w:bCs/>
          <w:highlight w:val="none"/>
        </w:rPr>
      </w:pPr>
      <w:r>
        <w:rPr>
          <w:rFonts w:hint="eastAsia" w:ascii="宋体" w:hAnsi="宋体" w:eastAsia="宋体" w:cs="宋体"/>
          <w:highlight w:val="none"/>
        </w:rPr>
        <w:br w:type="page" w:clear="all"/>
      </w:r>
      <w:bookmarkStart w:id="126" w:name="_Toc13419"/>
      <w:bookmarkStart w:id="127" w:name="_Toc467_WPSOffice_Level2"/>
      <w:bookmarkStart w:id="128" w:name="_Toc514054490"/>
      <w:r>
        <w:rPr>
          <w:rFonts w:hint="eastAsia" w:ascii="宋体" w:hAnsi="宋体" w:eastAsia="宋体" w:cs="宋体"/>
          <w:b/>
          <w:bCs/>
          <w:sz w:val="32"/>
          <w:highlight w:val="none"/>
        </w:rPr>
        <w:t>五、</w:t>
      </w:r>
      <w:bookmarkEnd w:id="126"/>
      <w:bookmarkEnd w:id="127"/>
      <w:bookmarkEnd w:id="128"/>
      <w:r>
        <w:rPr>
          <w:rFonts w:hint="eastAsia" w:ascii="宋体" w:hAnsi="宋体" w:eastAsia="宋体" w:cs="宋体"/>
          <w:b/>
          <w:bCs/>
          <w:sz w:val="32"/>
          <w:highlight w:val="none"/>
        </w:rPr>
        <w:t>有依法缴纳税收和社会保障资金的良好记录</w:t>
      </w:r>
    </w:p>
    <w:p w14:paraId="486ABB73">
      <w:pPr>
        <w:pStyle w:val="614"/>
        <w:rPr>
          <w:rFonts w:hint="eastAsia" w:ascii="宋体" w:hAnsi="宋体" w:cs="宋体"/>
          <w:highlight w:val="none"/>
        </w:rPr>
      </w:pPr>
      <w:r>
        <w:rPr>
          <w:rFonts w:hint="eastAsia" w:ascii="宋体" w:hAnsi="宋体" w:cs="宋体"/>
          <w:bCs/>
          <w:szCs w:val="32"/>
          <w:highlight w:val="none"/>
        </w:rPr>
        <w:t>提供符合招标文件要求的资料</w:t>
      </w:r>
    </w:p>
    <w:p w14:paraId="41A60704">
      <w:pPr>
        <w:widowControl/>
        <w:jc w:val="left"/>
        <w:rPr>
          <w:rFonts w:hint="eastAsia" w:ascii="宋体" w:hAnsi="宋体" w:cs="宋体"/>
          <w:b/>
          <w:sz w:val="32"/>
          <w:szCs w:val="24"/>
          <w:highlight w:val="none"/>
        </w:rPr>
      </w:pPr>
      <w:bookmarkStart w:id="129" w:name="_Toc514054491"/>
      <w:bookmarkStart w:id="130" w:name="_Toc19673"/>
      <w:bookmarkStart w:id="131" w:name="_Toc5571_WPSOffice_Level2"/>
      <w:r>
        <w:rPr>
          <w:rFonts w:hint="eastAsia" w:ascii="宋体" w:hAnsi="宋体" w:cs="宋体"/>
          <w:highlight w:val="none"/>
        </w:rPr>
        <w:br w:type="page" w:clear="all"/>
      </w:r>
    </w:p>
    <w:p w14:paraId="1967EEEF">
      <w:pPr>
        <w:pStyle w:val="416"/>
        <w:outlineLvl w:val="1"/>
        <w:rPr>
          <w:rFonts w:hint="eastAsia" w:ascii="宋体" w:hAnsi="宋体" w:eastAsia="宋体" w:cs="宋体"/>
          <w:highlight w:val="none"/>
        </w:rPr>
      </w:pPr>
      <w:bookmarkStart w:id="132" w:name="_Toc199794502"/>
      <w:r>
        <w:rPr>
          <w:rFonts w:hint="eastAsia" w:ascii="宋体" w:hAnsi="宋体" w:eastAsia="宋体" w:cs="宋体"/>
          <w:highlight w:val="none"/>
        </w:rPr>
        <w:t>六、无重大违法行为声明</w:t>
      </w:r>
      <w:bookmarkEnd w:id="129"/>
      <w:bookmarkEnd w:id="130"/>
      <w:bookmarkEnd w:id="131"/>
      <w:bookmarkEnd w:id="132"/>
    </w:p>
    <w:p w14:paraId="43460F6E">
      <w:pPr>
        <w:pStyle w:val="612"/>
        <w:tabs>
          <w:tab w:val="left" w:pos="1498"/>
        </w:tabs>
        <w:spacing w:line="580" w:lineRule="exact"/>
        <w:jc w:val="center"/>
        <w:rPr>
          <w:rFonts w:hint="eastAsia" w:ascii="宋体" w:hAnsi="宋体" w:cs="宋体"/>
          <w:b/>
          <w:sz w:val="32"/>
          <w:szCs w:val="32"/>
          <w:highlight w:val="none"/>
        </w:rPr>
      </w:pPr>
      <w:bookmarkStart w:id="133" w:name="_Toc7575_WPSOffice_Level2"/>
      <w:r>
        <w:rPr>
          <w:rFonts w:hint="eastAsia" w:ascii="宋体" w:hAnsi="宋体" w:cs="宋体"/>
          <w:b/>
          <w:sz w:val="32"/>
          <w:szCs w:val="32"/>
          <w:highlight w:val="none"/>
        </w:rPr>
        <w:t>无重大违法行为声明</w:t>
      </w:r>
      <w:bookmarkEnd w:id="133"/>
    </w:p>
    <w:p w14:paraId="71CAC92C">
      <w:pPr>
        <w:pStyle w:val="612"/>
        <w:tabs>
          <w:tab w:val="left" w:pos="1498"/>
        </w:tabs>
        <w:spacing w:line="580" w:lineRule="exact"/>
        <w:rPr>
          <w:rFonts w:hint="eastAsia" w:ascii="宋体" w:hAnsi="宋体" w:cs="宋体"/>
          <w:sz w:val="24"/>
          <w:highlight w:val="none"/>
        </w:rPr>
      </w:pPr>
      <w:r>
        <w:rPr>
          <w:rFonts w:hint="eastAsia" w:ascii="宋体" w:hAnsi="宋体" w:cs="宋体"/>
          <w:sz w:val="24"/>
          <w:highlight w:val="none"/>
          <w:u w:val="single"/>
        </w:rPr>
        <w:t xml:space="preserve">   （采购人名称）    </w:t>
      </w:r>
      <w:r>
        <w:rPr>
          <w:rFonts w:hint="eastAsia" w:ascii="宋体" w:hAnsi="宋体" w:cs="宋体"/>
          <w:sz w:val="24"/>
          <w:highlight w:val="none"/>
        </w:rPr>
        <w:t>：</w:t>
      </w:r>
    </w:p>
    <w:p w14:paraId="0B949180">
      <w:pPr>
        <w:pStyle w:val="612"/>
        <w:spacing w:line="600" w:lineRule="exact"/>
        <w:ind w:firstLine="600"/>
        <w:rPr>
          <w:rFonts w:hint="eastAsia" w:ascii="宋体" w:hAnsi="宋体" w:cs="宋体"/>
          <w:sz w:val="24"/>
          <w:highlight w:val="none"/>
        </w:rPr>
      </w:pPr>
      <w:r>
        <w:rPr>
          <w:rFonts w:hint="eastAsia" w:ascii="宋体" w:hAnsi="宋体" w:cs="宋体"/>
          <w:sz w:val="24"/>
          <w:highlight w:val="none"/>
        </w:rPr>
        <w:t>我公司在参加编号为</w:t>
      </w:r>
      <w:r>
        <w:rPr>
          <w:rFonts w:hint="eastAsia" w:ascii="宋体" w:hAnsi="宋体" w:cs="宋体"/>
          <w:sz w:val="24"/>
          <w:highlight w:val="none"/>
          <w:u w:val="single"/>
        </w:rPr>
        <w:t xml:space="preserve">     </w:t>
      </w:r>
      <w:r>
        <w:rPr>
          <w:rFonts w:hint="eastAsia" w:ascii="宋体" w:hAnsi="宋体" w:cs="宋体"/>
          <w:sz w:val="24"/>
          <w:highlight w:val="none"/>
        </w:rPr>
        <w:t>号</w:t>
      </w:r>
      <w:r>
        <w:rPr>
          <w:rFonts w:hint="eastAsia" w:ascii="宋体" w:hAnsi="宋体" w:cs="宋体"/>
          <w:sz w:val="24"/>
          <w:highlight w:val="none"/>
          <w:u w:val="single"/>
        </w:rPr>
        <w:t xml:space="preserve">                    </w:t>
      </w:r>
      <w:r>
        <w:rPr>
          <w:rFonts w:hint="eastAsia" w:ascii="宋体" w:hAnsi="宋体" w:cs="宋体"/>
          <w:sz w:val="24"/>
          <w:highlight w:val="none"/>
        </w:rPr>
        <w:t>项目的投标活动前3年内，在经营活动中没有重大违法记录。</w:t>
      </w:r>
    </w:p>
    <w:p w14:paraId="5D9EA05C">
      <w:pPr>
        <w:pStyle w:val="612"/>
        <w:spacing w:line="600" w:lineRule="exact"/>
        <w:ind w:firstLine="600"/>
        <w:rPr>
          <w:rFonts w:hint="eastAsia" w:ascii="宋体" w:hAnsi="宋体" w:cs="宋体"/>
          <w:sz w:val="24"/>
          <w:highlight w:val="none"/>
        </w:rPr>
      </w:pPr>
      <w:r>
        <w:rPr>
          <w:rFonts w:hint="eastAsia" w:ascii="宋体" w:hAnsi="宋体" w:cs="宋体"/>
          <w:sz w:val="24"/>
          <w:highlight w:val="none"/>
        </w:rPr>
        <w:t>特此声明。</w:t>
      </w:r>
    </w:p>
    <w:p w14:paraId="297AC07E">
      <w:pPr>
        <w:pStyle w:val="612"/>
        <w:spacing w:line="600" w:lineRule="exact"/>
        <w:ind w:firstLine="600"/>
        <w:rPr>
          <w:rFonts w:hint="eastAsia" w:ascii="宋体" w:hAnsi="宋体" w:cs="宋体"/>
          <w:sz w:val="24"/>
          <w:highlight w:val="none"/>
        </w:rPr>
      </w:pPr>
    </w:p>
    <w:p w14:paraId="653757CB">
      <w:pPr>
        <w:pStyle w:val="612"/>
        <w:spacing w:line="600" w:lineRule="exact"/>
        <w:ind w:firstLine="600"/>
        <w:rPr>
          <w:rFonts w:hint="eastAsia" w:ascii="宋体" w:hAnsi="宋体" w:cs="宋体"/>
          <w:sz w:val="24"/>
          <w:highlight w:val="none"/>
        </w:rPr>
      </w:pPr>
      <w:r>
        <w:rPr>
          <w:rFonts w:hint="eastAsia" w:ascii="宋体" w:hAnsi="宋体" w:cs="宋体"/>
          <w:sz w:val="24"/>
          <w:highlight w:val="none"/>
        </w:rPr>
        <w:t>注：重大违法记录，是指供应商因违法经营受到刑事处罚或者责令停产停业、吊销许可证或者执照、较大数额罚款等行政处罚。</w:t>
      </w:r>
    </w:p>
    <w:p w14:paraId="17300587">
      <w:pPr>
        <w:pStyle w:val="612"/>
        <w:spacing w:line="600" w:lineRule="exact"/>
        <w:ind w:firstLine="600"/>
        <w:rPr>
          <w:rFonts w:hint="eastAsia" w:ascii="宋体" w:hAnsi="宋体" w:cs="宋体"/>
          <w:sz w:val="24"/>
          <w:highlight w:val="none"/>
        </w:rPr>
      </w:pPr>
    </w:p>
    <w:p w14:paraId="2850CC68">
      <w:pPr>
        <w:pStyle w:val="612"/>
        <w:spacing w:line="600" w:lineRule="exact"/>
        <w:ind w:firstLine="600"/>
        <w:rPr>
          <w:rFonts w:hint="eastAsia" w:ascii="宋体" w:hAnsi="宋体" w:cs="宋体"/>
          <w:sz w:val="24"/>
          <w:highlight w:val="none"/>
        </w:rPr>
      </w:pPr>
    </w:p>
    <w:p w14:paraId="3EBE8CBF">
      <w:pPr>
        <w:pStyle w:val="382"/>
        <w:spacing w:line="700" w:lineRule="exact"/>
        <w:ind w:firstLine="629"/>
        <w:rPr>
          <w:rFonts w:hint="eastAsia" w:ascii="宋体" w:hAnsi="宋体" w:cs="宋体"/>
          <w:sz w:val="24"/>
          <w:highlight w:val="none"/>
          <w:u w:val="single"/>
        </w:rPr>
      </w:pPr>
      <w:r>
        <w:rPr>
          <w:rFonts w:hint="eastAsia" w:ascii="宋体" w:hAnsi="宋体" w:cs="宋体"/>
          <w:sz w:val="24"/>
          <w:highlight w:val="none"/>
        </w:rPr>
        <w:t>单位名称：</w:t>
      </w:r>
      <w:r>
        <w:rPr>
          <w:rFonts w:hint="eastAsia" w:ascii="宋体" w:hAnsi="宋体" w:cs="宋体"/>
          <w:sz w:val="24"/>
          <w:highlight w:val="none"/>
          <w:u w:val="single"/>
        </w:rPr>
        <w:t xml:space="preserve"> </w:t>
      </w:r>
      <w:r>
        <w:rPr>
          <w:rFonts w:hint="eastAsia" w:ascii="宋体" w:hAnsi="宋体" w:cs="宋体"/>
          <w:highlight w:val="none"/>
          <w:u w:val="single"/>
        </w:rPr>
        <w:t>（公章）</w:t>
      </w:r>
    </w:p>
    <w:p w14:paraId="2F2A427F">
      <w:pPr>
        <w:pStyle w:val="382"/>
        <w:spacing w:line="700" w:lineRule="exact"/>
        <w:ind w:firstLine="629"/>
        <w:rPr>
          <w:rFonts w:hint="eastAsia" w:ascii="宋体" w:hAnsi="宋体" w:cs="宋体"/>
          <w:sz w:val="24"/>
          <w:highlight w:val="none"/>
        </w:rPr>
      </w:pPr>
      <w:r>
        <w:rPr>
          <w:rFonts w:hint="eastAsia" w:ascii="宋体" w:hAnsi="宋体" w:cs="宋体"/>
          <w:sz w:val="24"/>
          <w:highlight w:val="none"/>
        </w:rPr>
        <w:t>法定代表人（或授权代表）：（签字或签章）</w:t>
      </w:r>
      <w:r>
        <w:rPr>
          <w:rFonts w:hint="eastAsia" w:ascii="宋体" w:hAnsi="宋体" w:cs="宋体"/>
          <w:sz w:val="24"/>
          <w:highlight w:val="none"/>
          <w:u w:val="single"/>
        </w:rPr>
        <w:t xml:space="preserve">              </w:t>
      </w:r>
    </w:p>
    <w:p w14:paraId="0345C414">
      <w:pPr>
        <w:pStyle w:val="564"/>
        <w:ind w:firstLine="720"/>
        <w:rPr>
          <w:rFonts w:hint="eastAsia" w:ascii="宋体" w:hAnsi="宋体" w:cs="宋体"/>
          <w:highlight w:val="none"/>
        </w:rPr>
      </w:pP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67FE0C0">
      <w:pPr>
        <w:widowControl/>
        <w:jc w:val="left"/>
        <w:rPr>
          <w:rFonts w:hint="eastAsia" w:ascii="宋体" w:hAnsi="宋体" w:cs="宋体"/>
          <w:b/>
          <w:sz w:val="32"/>
          <w:szCs w:val="24"/>
          <w:highlight w:val="none"/>
        </w:rPr>
      </w:pPr>
      <w:r>
        <w:rPr>
          <w:rFonts w:hint="eastAsia" w:ascii="宋体" w:hAnsi="宋体" w:cs="宋体"/>
          <w:highlight w:val="none"/>
        </w:rPr>
        <w:br w:type="page"/>
      </w:r>
    </w:p>
    <w:p w14:paraId="12DDE30C">
      <w:pPr>
        <w:pStyle w:val="371"/>
        <w:outlineLvl w:val="1"/>
        <w:rPr>
          <w:rFonts w:hint="eastAsia" w:ascii="宋体" w:hAnsi="宋体" w:eastAsia="宋体" w:cs="宋体"/>
          <w:highlight w:val="none"/>
        </w:rPr>
      </w:pPr>
      <w:r>
        <w:rPr>
          <w:rFonts w:hint="eastAsia" w:ascii="宋体" w:hAnsi="宋体" w:eastAsia="宋体" w:cs="宋体"/>
          <w:highlight w:val="none"/>
        </w:rPr>
        <w:t>七、南京市政府采购供应商信用记录表暨信用承诺书</w:t>
      </w:r>
    </w:p>
    <w:p w14:paraId="655BFDCD">
      <w:pPr>
        <w:rPr>
          <w:highlight w:val="none"/>
        </w:rPr>
      </w:pPr>
    </w:p>
    <w:p w14:paraId="15249564">
      <w:pPr>
        <w:rPr>
          <w:highlight w:val="none"/>
        </w:rPr>
      </w:pPr>
      <w:bookmarkStart w:id="134" w:name="_Toc31956_WPSOffice_Level2"/>
      <w:bookmarkStart w:id="135" w:name="_Toc199794503"/>
      <w:bookmarkStart w:id="136" w:name="_Toc30396"/>
      <w:bookmarkStart w:id="137" w:name="_Toc514054492"/>
      <w:r>
        <w:rPr>
          <w:rFonts w:cs="宋体"/>
          <w:highlight w:val="none"/>
        </w:rPr>
        <w:t>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p>
    <w:p w14:paraId="3783D0BB">
      <w:pPr>
        <w:pStyle w:val="14"/>
        <w:rPr>
          <w:highlight w:val="none"/>
        </w:rPr>
      </w:pPr>
    </w:p>
    <w:p w14:paraId="56EB60A3">
      <w:pPr>
        <w:pStyle w:val="14"/>
        <w:rPr>
          <w:highlight w:val="none"/>
        </w:rPr>
      </w:pPr>
      <w:r>
        <w:rPr>
          <w:rFonts w:hint="eastAsia"/>
          <w:highlight w:val="none"/>
        </w:rPr>
        <w:t>注：</w:t>
      </w:r>
      <w:bookmarkStart w:id="138" w:name="_Toc26015"/>
    </w:p>
    <w:p w14:paraId="1EE72ABA">
      <w:pPr>
        <w:pStyle w:val="491"/>
        <w:numPr>
          <w:ilvl w:val="0"/>
          <w:numId w:val="13"/>
        </w:numPr>
        <w:rPr>
          <w:rFonts w:hint="eastAsia" w:ascii="Times New Roman" w:hAnsi="宋体" w:eastAsia="宋体"/>
          <w:bCs/>
          <w:sz w:val="24"/>
          <w:highlight w:val="none"/>
        </w:rPr>
      </w:pPr>
      <w:r>
        <w:rPr>
          <w:rFonts w:ascii="Times New Roman" w:hAnsi="宋体" w:eastAsia="宋体"/>
          <w:bCs/>
          <w:sz w:val="24"/>
          <w:highlight w:val="none"/>
        </w:rPr>
        <w:t>自身符合《政府采购法》第二十二条规定、按</w:t>
      </w:r>
      <w:r>
        <w:rPr>
          <w:rFonts w:hint="eastAsia" w:ascii="Times New Roman" w:hAnsi="宋体" w:eastAsia="宋体"/>
          <w:bCs/>
          <w:sz w:val="24"/>
          <w:highlight w:val="none"/>
        </w:rPr>
        <w:t>约定提交相关材料的承诺，以及违背承诺自愿承担相关责任的约定。</w:t>
      </w:r>
    </w:p>
    <w:p w14:paraId="255EEF6C">
      <w:pPr>
        <w:pStyle w:val="491"/>
        <w:rPr>
          <w:rFonts w:hint="eastAsia" w:ascii="Times New Roman" w:hAnsi="宋体" w:eastAsia="宋体"/>
          <w:bCs/>
          <w:sz w:val="24"/>
          <w:highlight w:val="none"/>
        </w:rPr>
      </w:pPr>
    </w:p>
    <w:p w14:paraId="4613D182">
      <w:pPr>
        <w:pStyle w:val="491"/>
        <w:numPr>
          <w:ilvl w:val="0"/>
          <w:numId w:val="14"/>
        </w:numPr>
        <w:rPr>
          <w:rFonts w:hint="eastAsia" w:ascii="Times New Roman" w:hAnsi="宋体" w:eastAsia="宋体"/>
          <w:bCs/>
          <w:sz w:val="24"/>
          <w:highlight w:val="none"/>
        </w:rPr>
      </w:pPr>
      <w:r>
        <w:rPr>
          <w:rFonts w:hint="eastAsia" w:ascii="Times New Roman" w:hAnsi="宋体" w:eastAsia="宋体"/>
          <w:bCs/>
          <w:sz w:val="24"/>
          <w:highlight w:val="none"/>
        </w:rPr>
        <w:t>不适用信用承诺的情形</w:t>
      </w:r>
      <w:bookmarkEnd w:id="138"/>
    </w:p>
    <w:p w14:paraId="015948D0">
      <w:pPr>
        <w:rPr>
          <w:highlight w:val="none"/>
        </w:rPr>
      </w:pPr>
      <w:r>
        <w:rPr>
          <w:rFonts w:hint="eastAsia"/>
          <w:highlight w:val="none"/>
        </w:rPr>
        <w:t xml:space="preserve">（一）供应商被列入严重失信主体名单； </w:t>
      </w:r>
    </w:p>
    <w:p w14:paraId="594B0C35">
      <w:pPr>
        <w:rPr>
          <w:highlight w:val="none"/>
        </w:rPr>
      </w:pPr>
      <w:r>
        <w:rPr>
          <w:rFonts w:hint="eastAsia"/>
          <w:highlight w:val="none"/>
        </w:rPr>
        <w:t xml:space="preserve">（二）被相关监管部门作出行政处罚且尚在处罚有效期内； </w:t>
      </w:r>
    </w:p>
    <w:p w14:paraId="2F203362">
      <w:pPr>
        <w:pStyle w:val="14"/>
        <w:rPr>
          <w:highlight w:val="none"/>
        </w:rPr>
      </w:pPr>
      <w:r>
        <w:rPr>
          <w:rFonts w:hint="eastAsia"/>
          <w:highlight w:val="none"/>
        </w:rPr>
        <w:t>（三）其他法律、行政法规规定的不适用信用承诺的情形。</w:t>
      </w:r>
    </w:p>
    <w:p w14:paraId="01600BA6">
      <w:pPr>
        <w:pStyle w:val="14"/>
        <w:rPr>
          <w:highlight w:val="none"/>
        </w:rPr>
      </w:pPr>
    </w:p>
    <w:p w14:paraId="5CAB9900">
      <w:pPr>
        <w:pStyle w:val="455"/>
        <w:numPr>
          <w:ilvl w:val="0"/>
          <w:numId w:val="14"/>
        </w:numPr>
        <w:rPr>
          <w:highlight w:val="none"/>
        </w:rPr>
      </w:pPr>
      <w:bookmarkStart w:id="139" w:name="_Toc24679"/>
      <w:r>
        <w:rPr>
          <w:rFonts w:hint="eastAsia" w:ascii="宋体" w:hAnsi="宋体" w:cs="宋体"/>
          <w:highlight w:val="none"/>
        </w:rPr>
        <w:t>违反信用承诺的法律责任</w:t>
      </w:r>
      <w:bookmarkEnd w:id="139"/>
      <w:r>
        <w:rPr>
          <w:rFonts w:hint="eastAsia"/>
          <w:highlight w:val="none"/>
        </w:rPr>
        <w:t xml:space="preserve"> </w:t>
      </w:r>
    </w:p>
    <w:p w14:paraId="3E196998">
      <w:pPr>
        <w:rPr>
          <w:highlight w:val="none"/>
        </w:rPr>
      </w:pPr>
      <w:r>
        <w:rPr>
          <w:rFonts w:hint="eastAsia"/>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FF4D44B">
      <w:pPr>
        <w:pStyle w:val="14"/>
        <w:rPr>
          <w:highlight w:val="none"/>
        </w:rPr>
      </w:pPr>
    </w:p>
    <w:p w14:paraId="1E81268D">
      <w:pPr>
        <w:pStyle w:val="557"/>
        <w:numPr>
          <w:ilvl w:val="0"/>
          <w:numId w:val="14"/>
        </w:numPr>
        <w:rPr>
          <w:rFonts w:hint="eastAsia" w:ascii="宋体" w:hAnsi="宋体" w:eastAsia="宋体" w:cs="宋体"/>
          <w:bCs/>
          <w:i/>
          <w:iCs/>
          <w:kern w:val="2"/>
          <w:sz w:val="24"/>
          <w:highlight w:val="none"/>
        </w:rPr>
      </w:pPr>
      <w:r>
        <w:rPr>
          <w:rFonts w:hint="eastAsia" w:ascii="宋体" w:hAnsi="宋体" w:eastAsia="宋体" w:cs="宋体"/>
          <w:bCs/>
          <w:i/>
          <w:iCs/>
          <w:kern w:val="2"/>
          <w:sz w:val="24"/>
          <w:highlight w:val="none"/>
        </w:rPr>
        <w:t>不适用信用承诺的供应商仍须按招标文件要求提供资格审查要求的证明材料。</w:t>
      </w:r>
    </w:p>
    <w:p w14:paraId="5BB0B8E0">
      <w:pPr>
        <w:pStyle w:val="371"/>
        <w:outlineLvl w:val="1"/>
        <w:rPr>
          <w:rFonts w:hint="eastAsia" w:ascii="宋体" w:hAnsi="宋体" w:eastAsia="宋体" w:cs="宋体"/>
          <w:highlight w:val="none"/>
        </w:rPr>
      </w:pPr>
      <w:r>
        <w:rPr>
          <w:rFonts w:hint="eastAsia" w:ascii="宋体" w:hAnsi="宋体" w:eastAsia="宋体" w:cs="宋体"/>
          <w:highlight w:val="none"/>
        </w:rPr>
        <w:t>八、投标函</w:t>
      </w:r>
      <w:bookmarkEnd w:id="134"/>
      <w:bookmarkEnd w:id="135"/>
      <w:bookmarkEnd w:id="136"/>
      <w:bookmarkEnd w:id="137"/>
    </w:p>
    <w:p w14:paraId="25B1586C">
      <w:pPr>
        <w:pStyle w:val="451"/>
        <w:tabs>
          <w:tab w:val="left" w:pos="1498"/>
        </w:tabs>
        <w:spacing w:line="400" w:lineRule="exact"/>
        <w:rPr>
          <w:rFonts w:hint="eastAsia" w:ascii="宋体" w:hAnsi="宋体" w:cs="宋体"/>
          <w:sz w:val="24"/>
          <w:szCs w:val="22"/>
          <w:highlight w:val="none"/>
        </w:rPr>
      </w:pPr>
      <w:bookmarkStart w:id="140" w:name="_Toc22395"/>
      <w:bookmarkStart w:id="141" w:name="_Toc514054493"/>
      <w:r>
        <w:rPr>
          <w:rFonts w:hint="eastAsia" w:ascii="宋体" w:hAnsi="宋体" w:cs="宋体"/>
          <w:sz w:val="24"/>
          <w:highlight w:val="none"/>
          <w:u w:val="single"/>
        </w:rPr>
        <w:t xml:space="preserve">                      </w:t>
      </w:r>
      <w:r>
        <w:rPr>
          <w:rFonts w:hint="eastAsia" w:ascii="宋体" w:hAnsi="宋体" w:cs="宋体"/>
          <w:sz w:val="24"/>
          <w:highlight w:val="none"/>
        </w:rPr>
        <w:t>：</w:t>
      </w:r>
    </w:p>
    <w:p w14:paraId="1F99E20E">
      <w:pPr>
        <w:pStyle w:val="451"/>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 xml:space="preserve"> 经研究，我们决定参加编号为</w:t>
      </w:r>
      <w:r>
        <w:rPr>
          <w:rFonts w:hint="eastAsia" w:ascii="宋体" w:hAnsi="宋体" w:cs="宋体"/>
          <w:sz w:val="24"/>
          <w:highlight w:val="none"/>
          <w:u w:val="single"/>
        </w:rPr>
        <w:t xml:space="preserve">                  </w:t>
      </w:r>
      <w:r>
        <w:rPr>
          <w:rFonts w:hint="eastAsia" w:ascii="宋体" w:hAnsi="宋体" w:cs="宋体"/>
          <w:sz w:val="24"/>
          <w:highlight w:val="none"/>
        </w:rPr>
        <w:t>的招标活动并投标，为此，我方郑重声明以下诸点，并负法律责任。</w:t>
      </w:r>
    </w:p>
    <w:p w14:paraId="6D81FD1D">
      <w:pPr>
        <w:pStyle w:val="451"/>
        <w:numPr>
          <w:ilvl w:val="0"/>
          <w:numId w:val="15"/>
        </w:numPr>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经研究招标文件的全部内容后，我方愿按招标文件的规定要求提供所有货物和服务；</w:t>
      </w:r>
    </w:p>
    <w:p w14:paraId="2ED82D0F">
      <w:pPr>
        <w:pStyle w:val="451"/>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二、</w:t>
      </w:r>
      <w:r>
        <w:rPr>
          <w:rFonts w:hint="eastAsia" w:ascii="宋体" w:hAnsi="宋体" w:cs="宋体"/>
          <w:b/>
          <w:bCs/>
          <w:sz w:val="24"/>
          <w:highlight w:val="none"/>
        </w:rPr>
        <w:t xml:space="preserve">我方没有为本采购项目提供整体设计、规范编制，以及项目管理、监理、检测等服务。 </w:t>
      </w:r>
    </w:p>
    <w:p w14:paraId="3645651A">
      <w:pPr>
        <w:pStyle w:val="451"/>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三、我方与参与本次采购活动的其他投标人的法定代表人或委托代理人</w:t>
      </w:r>
      <w:r>
        <w:rPr>
          <w:rFonts w:hint="eastAsia" w:ascii="宋体" w:hAnsi="宋体" w:cs="宋体"/>
          <w:b/>
          <w:bCs/>
          <w:sz w:val="24"/>
          <w:highlight w:val="none"/>
        </w:rPr>
        <w:t xml:space="preserve">无夫妻、直系血亲关系； </w:t>
      </w:r>
    </w:p>
    <w:p w14:paraId="1F446951">
      <w:pPr>
        <w:pStyle w:val="451"/>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四、我方与参与本次采购活动的其他投标人的负责人</w:t>
      </w:r>
      <w:r>
        <w:rPr>
          <w:rFonts w:hint="eastAsia" w:ascii="宋体" w:hAnsi="宋体" w:cs="宋体"/>
          <w:b/>
          <w:bCs/>
          <w:sz w:val="24"/>
          <w:highlight w:val="none"/>
        </w:rPr>
        <w:t xml:space="preserve">不是同一人，也不存在直接控股、管理关系。 </w:t>
      </w:r>
    </w:p>
    <w:p w14:paraId="1E891E39">
      <w:pPr>
        <w:pStyle w:val="451"/>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五、我们理解，最低报价不是中标的唯一条件，你们有选择中标人的权利；</w:t>
      </w:r>
    </w:p>
    <w:p w14:paraId="0D59235D">
      <w:pPr>
        <w:pStyle w:val="451"/>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2FAE522C">
      <w:pPr>
        <w:pStyle w:val="451"/>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七、一旦我方中标，我方将根据招标文件的规定，严格按照《中华人民共和国民法典》履行自己的责任和义务，并保证于我方承诺的期限内完成项目规定的所有内容。</w:t>
      </w:r>
    </w:p>
    <w:p w14:paraId="4D931BFA">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八、我方同意遵守贵方有关招标投标的各项规定；</w:t>
      </w:r>
    </w:p>
    <w:p w14:paraId="1FA5364A">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九、我方响应招标文件规定的投标有效期。</w:t>
      </w:r>
    </w:p>
    <w:p w14:paraId="20208103">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1A02188C">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 xml:space="preserve">十一、与本投标有关的正式联系方式为： </w:t>
      </w:r>
    </w:p>
    <w:p w14:paraId="5D747F23">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联系人：</w:t>
      </w:r>
      <w:r>
        <w:rPr>
          <w:rFonts w:hint="eastAsia" w:ascii="宋体" w:hAnsi="宋体" w:cs="宋体"/>
          <w:sz w:val="24"/>
          <w:highlight w:val="none"/>
          <w:u w:val="single"/>
        </w:rPr>
        <w:t xml:space="preserve">               </w:t>
      </w:r>
    </w:p>
    <w:p w14:paraId="593E381B">
      <w:pPr>
        <w:pStyle w:val="482"/>
        <w:tabs>
          <w:tab w:val="left" w:pos="1498"/>
        </w:tabs>
        <w:spacing w:line="400" w:lineRule="exact"/>
        <w:ind w:firstLine="480"/>
        <w:rPr>
          <w:rFonts w:hint="eastAsia" w:ascii="宋体" w:hAnsi="宋体" w:cs="宋体"/>
          <w:sz w:val="24"/>
          <w:highlight w:val="none"/>
          <w:u w:val="single"/>
        </w:rPr>
      </w:pPr>
      <w:r>
        <w:rPr>
          <w:rFonts w:hint="eastAsia" w:ascii="宋体" w:hAnsi="宋体" w:cs="宋体"/>
          <w:sz w:val="24"/>
          <w:highlight w:val="none"/>
        </w:rPr>
        <w:t>地址：</w:t>
      </w:r>
      <w:r>
        <w:rPr>
          <w:rFonts w:hint="eastAsia" w:ascii="宋体" w:hAnsi="宋体" w:cs="宋体"/>
          <w:sz w:val="24"/>
          <w:highlight w:val="none"/>
          <w:u w:val="single"/>
        </w:rPr>
        <w:t xml:space="preserve">                 </w:t>
      </w:r>
    </w:p>
    <w:p w14:paraId="42FB4E35">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电话：</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DF41E65">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 xml:space="preserve">十二、我方正式开户银行和帐号为： </w:t>
      </w:r>
    </w:p>
    <w:p w14:paraId="593EEC0C">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5DF25CA7">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银行账号：</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5D959C5">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投标人名称：</w:t>
      </w:r>
      <w:r>
        <w:rPr>
          <w:rFonts w:hint="eastAsia" w:ascii="宋体" w:hAnsi="宋体" w:cs="宋体"/>
          <w:highlight w:val="none"/>
          <w:u w:val="single"/>
        </w:rPr>
        <w:t>（公章）</w:t>
      </w:r>
      <w:r>
        <w:rPr>
          <w:rFonts w:hint="eastAsia" w:ascii="宋体" w:hAnsi="宋体" w:cs="宋体"/>
          <w:sz w:val="24"/>
          <w:highlight w:val="none"/>
        </w:rPr>
        <w:t xml:space="preserve"> </w:t>
      </w:r>
    </w:p>
    <w:p w14:paraId="6E55B201">
      <w:pPr>
        <w:pStyle w:val="482"/>
        <w:tabs>
          <w:tab w:val="left" w:pos="1498"/>
        </w:tabs>
        <w:spacing w:line="400" w:lineRule="exact"/>
        <w:ind w:firstLine="480"/>
        <w:rPr>
          <w:rFonts w:hint="eastAsia" w:ascii="宋体" w:hAnsi="宋体" w:cs="宋体"/>
          <w:sz w:val="24"/>
          <w:highlight w:val="none"/>
        </w:rPr>
      </w:pPr>
      <w:r>
        <w:rPr>
          <w:rFonts w:hint="eastAsia" w:ascii="宋体" w:hAnsi="宋体" w:cs="宋体"/>
          <w:sz w:val="24"/>
          <w:highlight w:val="none"/>
        </w:rPr>
        <w:t>日 期： 年 月 日</w:t>
      </w:r>
    </w:p>
    <w:p w14:paraId="689ACF97">
      <w:pPr>
        <w:pStyle w:val="506"/>
        <w:spacing w:line="400" w:lineRule="exact"/>
        <w:outlineLvl w:val="1"/>
        <w:rPr>
          <w:rFonts w:hint="eastAsia" w:ascii="宋体" w:hAnsi="宋体" w:eastAsia="宋体" w:cs="宋体"/>
          <w:highlight w:val="none"/>
        </w:rPr>
      </w:pPr>
      <w:r>
        <w:rPr>
          <w:rFonts w:hint="eastAsia" w:ascii="宋体" w:hAnsi="宋体" w:eastAsia="宋体" w:cs="宋体"/>
          <w:sz w:val="24"/>
          <w:highlight w:val="none"/>
        </w:rPr>
        <w:br w:type="page" w:clear="all"/>
      </w:r>
      <w:bookmarkStart w:id="142" w:name="_Toc199794504"/>
      <w:r>
        <w:rPr>
          <w:rFonts w:hint="eastAsia" w:ascii="宋体" w:hAnsi="宋体" w:eastAsia="宋体" w:cs="宋体"/>
          <w:highlight w:val="none"/>
        </w:rPr>
        <w:t>九、法定代表人身份证明或授权委托书</w:t>
      </w:r>
      <w:bookmarkEnd w:id="140"/>
      <w:bookmarkEnd w:id="141"/>
      <w:bookmarkEnd w:id="142"/>
    </w:p>
    <w:p w14:paraId="161ABE2E">
      <w:pPr>
        <w:pStyle w:val="613"/>
        <w:spacing w:line="560" w:lineRule="exact"/>
        <w:jc w:val="center"/>
        <w:rPr>
          <w:rFonts w:hint="eastAsia" w:ascii="宋体" w:hAnsi="宋体" w:cs="宋体"/>
          <w:b/>
          <w:bCs/>
          <w:sz w:val="32"/>
          <w:szCs w:val="32"/>
          <w:highlight w:val="none"/>
        </w:rPr>
      </w:pPr>
      <w:bookmarkStart w:id="143" w:name="_Toc22626_WPSOffice_Level2"/>
      <w:r>
        <w:rPr>
          <w:rFonts w:hint="eastAsia" w:ascii="宋体" w:hAnsi="宋体" w:cs="宋体"/>
          <w:b/>
          <w:bCs/>
          <w:sz w:val="32"/>
          <w:szCs w:val="32"/>
          <w:highlight w:val="none"/>
        </w:rPr>
        <w:t>法定代表人身份证明</w:t>
      </w:r>
      <w:bookmarkEnd w:id="143"/>
    </w:p>
    <w:p w14:paraId="1AFEBAE3">
      <w:pPr>
        <w:pStyle w:val="516"/>
        <w:spacing w:line="480" w:lineRule="exact"/>
        <w:rPr>
          <w:rFonts w:hint="eastAsia" w:ascii="宋体" w:hAnsi="宋体" w:cs="宋体"/>
          <w:sz w:val="24"/>
          <w:highlight w:val="none"/>
        </w:rPr>
      </w:pPr>
    </w:p>
    <w:p w14:paraId="39545794">
      <w:pPr>
        <w:pStyle w:val="516"/>
        <w:spacing w:line="480" w:lineRule="exact"/>
        <w:rPr>
          <w:rFonts w:hint="eastAsia"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73B09CAF">
      <w:pPr>
        <w:pStyle w:val="516"/>
        <w:spacing w:line="480" w:lineRule="exact"/>
        <w:rPr>
          <w:rFonts w:hint="eastAsia" w:ascii="宋体" w:hAnsi="宋体" w:cs="宋体"/>
          <w:sz w:val="24"/>
          <w:highlight w:val="non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5977D032">
      <w:pPr>
        <w:pStyle w:val="516"/>
        <w:spacing w:line="480" w:lineRule="exact"/>
        <w:rPr>
          <w:rFonts w:hint="eastAsia" w:ascii="宋体" w:hAnsi="宋体" w:cs="宋体"/>
          <w:sz w:val="24"/>
          <w:highlight w:val="none"/>
        </w:rPr>
      </w:pPr>
      <w:r>
        <w:rPr>
          <w:rFonts w:hint="eastAsia" w:ascii="宋体" w:hAnsi="宋体" w:cs="宋体"/>
          <w:sz w:val="24"/>
          <w:highlight w:val="none"/>
        </w:rPr>
        <w:t>地址：</w:t>
      </w:r>
      <w:r>
        <w:rPr>
          <w:rFonts w:hint="eastAsia" w:ascii="宋体" w:hAnsi="宋体" w:cs="宋体"/>
          <w:sz w:val="24"/>
          <w:highlight w:val="none"/>
          <w:u w:val="single"/>
        </w:rPr>
        <w:t xml:space="preserve">                                   </w:t>
      </w:r>
    </w:p>
    <w:p w14:paraId="647AFA49">
      <w:pPr>
        <w:pStyle w:val="516"/>
        <w:spacing w:line="480" w:lineRule="exact"/>
        <w:rPr>
          <w:rFonts w:hint="eastAsia"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 xml:space="preserve"> 年</w:t>
      </w:r>
      <w:r>
        <w:rPr>
          <w:rFonts w:hint="eastAsia" w:ascii="宋体" w:hAnsi="宋体" w:cs="宋体"/>
          <w:sz w:val="24"/>
          <w:highlight w:val="none"/>
          <w:u w:val="single"/>
        </w:rPr>
        <w:t xml:space="preserve">       </w:t>
      </w:r>
      <w:r>
        <w:rPr>
          <w:rFonts w:hint="eastAsia" w:ascii="宋体" w:hAnsi="宋体" w:cs="宋体"/>
          <w:sz w:val="24"/>
          <w:highlight w:val="none"/>
        </w:rPr>
        <w:t xml:space="preserve"> 月</w:t>
      </w:r>
      <w:r>
        <w:rPr>
          <w:rFonts w:hint="eastAsia" w:ascii="宋体" w:hAnsi="宋体" w:cs="宋体"/>
          <w:sz w:val="24"/>
          <w:highlight w:val="none"/>
          <w:u w:val="single"/>
        </w:rPr>
        <w:t xml:space="preserve">       </w:t>
      </w:r>
      <w:r>
        <w:rPr>
          <w:rFonts w:hint="eastAsia" w:ascii="宋体" w:hAnsi="宋体" w:cs="宋体"/>
          <w:sz w:val="24"/>
          <w:highlight w:val="none"/>
        </w:rPr>
        <w:t xml:space="preserve"> 日</w:t>
      </w:r>
    </w:p>
    <w:p w14:paraId="5CE0A07A">
      <w:pPr>
        <w:pStyle w:val="516"/>
        <w:spacing w:line="480" w:lineRule="exact"/>
        <w:rPr>
          <w:rFonts w:hint="eastAsia" w:ascii="宋体" w:hAnsi="宋体" w:cs="宋体"/>
          <w:sz w:val="24"/>
          <w:highlight w:val="none"/>
        </w:rPr>
      </w:pPr>
      <w:r>
        <w:rPr>
          <w:rFonts w:hint="eastAsia" w:ascii="宋体" w:hAnsi="宋体" w:cs="宋体"/>
          <w:sz w:val="24"/>
          <w:highlight w:val="none"/>
        </w:rPr>
        <w:t>经营期限：</w:t>
      </w:r>
      <w:r>
        <w:rPr>
          <w:rFonts w:hint="eastAsia" w:ascii="宋体" w:hAnsi="宋体" w:cs="宋体"/>
          <w:sz w:val="24"/>
          <w:highlight w:val="none"/>
          <w:u w:val="single"/>
        </w:rPr>
        <w:t xml:space="preserve">                               </w:t>
      </w:r>
    </w:p>
    <w:p w14:paraId="30795FFB">
      <w:pPr>
        <w:pStyle w:val="516"/>
        <w:spacing w:line="480" w:lineRule="exact"/>
        <w:rPr>
          <w:rFonts w:hint="eastAsia" w:ascii="宋体" w:hAnsi="宋体" w:cs="宋体"/>
          <w:sz w:val="24"/>
          <w:highlight w:val="none"/>
        </w:rPr>
      </w:pPr>
      <w:r>
        <w:rPr>
          <w:rFonts w:hint="eastAsia" w:ascii="宋体" w:hAnsi="宋体" w:cs="宋体"/>
          <w:sz w:val="24"/>
          <w:highlight w:val="none"/>
        </w:rPr>
        <w:t>姓名：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 xml:space="preserve"> 年龄：</w:t>
      </w:r>
      <w:r>
        <w:rPr>
          <w:rFonts w:hint="eastAsia" w:ascii="宋体" w:hAnsi="宋体" w:cs="宋体"/>
          <w:sz w:val="24"/>
          <w:highlight w:val="none"/>
          <w:u w:val="single"/>
        </w:rPr>
        <w:t xml:space="preserve">        </w:t>
      </w:r>
      <w:r>
        <w:rPr>
          <w:rFonts w:hint="eastAsia" w:ascii="宋体" w:hAnsi="宋体" w:cs="宋体"/>
          <w:sz w:val="24"/>
          <w:highlight w:val="none"/>
        </w:rPr>
        <w:t>职务：</w:t>
      </w:r>
      <w:r>
        <w:rPr>
          <w:rFonts w:hint="eastAsia" w:ascii="宋体" w:hAnsi="宋体" w:cs="宋体"/>
          <w:sz w:val="24"/>
          <w:highlight w:val="none"/>
          <w:u w:val="single"/>
        </w:rPr>
        <w:t xml:space="preserve">        </w:t>
      </w:r>
      <w:r>
        <w:rPr>
          <w:rFonts w:hint="eastAsia" w:ascii="宋体" w:hAnsi="宋体" w:cs="宋体"/>
          <w:sz w:val="24"/>
          <w:highlight w:val="none"/>
        </w:rPr>
        <w:t>系</w:t>
      </w:r>
    </w:p>
    <w:p w14:paraId="3B63FD18">
      <w:pPr>
        <w:pStyle w:val="516"/>
        <w:spacing w:line="480" w:lineRule="exact"/>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 （投标人名称）的法定代表人。</w:t>
      </w:r>
    </w:p>
    <w:p w14:paraId="05F1648E">
      <w:pPr>
        <w:pStyle w:val="516"/>
        <w:spacing w:line="480" w:lineRule="exact"/>
        <w:ind w:firstLine="480"/>
        <w:rPr>
          <w:rFonts w:hint="eastAsia" w:ascii="宋体" w:hAnsi="宋体" w:cs="宋体"/>
          <w:sz w:val="24"/>
          <w:highlight w:val="none"/>
        </w:rPr>
      </w:pPr>
      <w:r>
        <w:rPr>
          <w:rFonts w:hint="eastAsia" w:ascii="宋体" w:hAnsi="宋体" w:cs="宋体"/>
          <w:sz w:val="24"/>
          <w:highlight w:val="none"/>
        </w:rPr>
        <w:t>特此证明。</w:t>
      </w:r>
    </w:p>
    <w:p w14:paraId="18AB3F1B">
      <w:pPr>
        <w:pStyle w:val="644"/>
        <w:spacing w:line="600" w:lineRule="exact"/>
        <w:rPr>
          <w:rFonts w:hint="eastAsia" w:ascii="宋体" w:hAnsi="宋体" w:cs="宋体"/>
          <w:b/>
          <w:sz w:val="24"/>
          <w:highlight w:val="none"/>
        </w:rPr>
      </w:pPr>
      <w:r>
        <w:rPr>
          <w:rFonts w:hint="eastAsia" w:ascii="宋体" w:hAnsi="宋体" w:cs="宋体"/>
          <w:b/>
          <w:sz w:val="24"/>
          <w:highlight w:val="none"/>
        </w:rPr>
        <w:t>（法定代表人出席开标会议的提供，未出席的可不提供。附法定代表人身份证、扫描件。）</w:t>
      </w:r>
    </w:p>
    <w:p w14:paraId="7CA0A607">
      <w:pPr>
        <w:pStyle w:val="516"/>
        <w:spacing w:line="480" w:lineRule="exact"/>
        <w:ind w:firstLine="480"/>
        <w:rPr>
          <w:rFonts w:hint="eastAsia" w:ascii="宋体" w:hAnsi="宋体" w:cs="宋体"/>
          <w:sz w:val="24"/>
          <w:highlight w:val="none"/>
        </w:rPr>
      </w:pPr>
    </w:p>
    <w:p w14:paraId="3A0E55BA">
      <w:pPr>
        <w:pStyle w:val="516"/>
        <w:spacing w:line="480" w:lineRule="exact"/>
        <w:jc w:val="right"/>
        <w:rPr>
          <w:rFonts w:hint="eastAsia" w:ascii="宋体" w:hAnsi="宋体" w:cs="宋体"/>
          <w:sz w:val="24"/>
          <w:highlight w:val="none"/>
        </w:rPr>
      </w:pPr>
      <w:r>
        <w:rPr>
          <w:rFonts w:hint="eastAsia" w:ascii="宋体" w:hAnsi="宋体" w:cs="宋体"/>
          <w:sz w:val="24"/>
          <w:highlight w:val="none"/>
        </w:rPr>
        <w:t xml:space="preserve">                       </w:t>
      </w:r>
    </w:p>
    <w:p w14:paraId="52FB8BB9">
      <w:pPr>
        <w:pStyle w:val="516"/>
        <w:spacing w:line="480" w:lineRule="exact"/>
        <w:jc w:val="right"/>
        <w:rPr>
          <w:rFonts w:hint="eastAsia" w:ascii="宋体" w:hAnsi="宋体" w:cs="宋体"/>
          <w:sz w:val="24"/>
          <w:highlight w:val="none"/>
        </w:rPr>
      </w:pPr>
    </w:p>
    <w:p w14:paraId="172C192B">
      <w:pPr>
        <w:pStyle w:val="516"/>
        <w:spacing w:line="480" w:lineRule="exact"/>
        <w:jc w:val="right"/>
        <w:rPr>
          <w:rFonts w:hint="eastAsia" w:ascii="宋体" w:hAnsi="宋体" w:cs="宋体"/>
          <w:sz w:val="24"/>
          <w:highlight w:val="none"/>
        </w:rPr>
      </w:pPr>
    </w:p>
    <w:p w14:paraId="11CE3BC0">
      <w:pPr>
        <w:pStyle w:val="644"/>
        <w:spacing w:line="700" w:lineRule="exact"/>
        <w:ind w:firstLine="445"/>
        <w:jc w:val="right"/>
        <w:rPr>
          <w:rFonts w:hint="eastAsia" w:ascii="宋体" w:hAnsi="宋体" w:cs="宋体"/>
          <w:sz w:val="24"/>
          <w:highlight w:val="none"/>
        </w:rPr>
      </w:pPr>
      <w:r>
        <w:rPr>
          <w:rFonts w:hint="eastAsia" w:ascii="宋体" w:hAnsi="宋体" w:cs="宋体"/>
          <w:sz w:val="24"/>
          <w:highlight w:val="none"/>
        </w:rPr>
        <w:t>单位名称：</w:t>
      </w:r>
      <w:r>
        <w:rPr>
          <w:rFonts w:hint="eastAsia" w:ascii="宋体" w:hAnsi="宋体" w:cs="宋体"/>
          <w:sz w:val="24"/>
          <w:highlight w:val="none"/>
          <w:u w:val="single"/>
        </w:rPr>
        <w:t xml:space="preserve">       </w:t>
      </w:r>
      <w:r>
        <w:rPr>
          <w:rFonts w:hint="eastAsia" w:ascii="宋体" w:hAnsi="宋体" w:cs="宋体"/>
          <w:highlight w:val="none"/>
          <w:u w:val="single"/>
        </w:rPr>
        <w:t>（公章）</w:t>
      </w:r>
    </w:p>
    <w:p w14:paraId="2FD6DFE9">
      <w:pPr>
        <w:pStyle w:val="613"/>
        <w:spacing w:line="560" w:lineRule="exact"/>
        <w:ind w:firstLine="424"/>
        <w:jc w:val="right"/>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s="宋体"/>
          <w:sz w:val="24"/>
          <w:highlight w:val="none"/>
          <w:u w:val="single"/>
        </w:rPr>
        <w:t xml:space="preserve">           </w:t>
      </w:r>
      <w:r>
        <w:rPr>
          <w:rFonts w:hint="eastAsia" w:ascii="宋体" w:hAnsi="宋体" w:cs="宋体"/>
          <w:sz w:val="24"/>
          <w:highlight w:val="none"/>
        </w:rPr>
        <w:t>（签字或签章）</w:t>
      </w:r>
    </w:p>
    <w:p w14:paraId="6158B918">
      <w:pPr>
        <w:pStyle w:val="535"/>
        <w:spacing w:line="700" w:lineRule="exact"/>
        <w:ind w:firstLine="988"/>
        <w:jc w:val="right"/>
        <w:rPr>
          <w:rFonts w:hint="eastAsia"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3C1CA8D">
      <w:pPr>
        <w:pStyle w:val="613"/>
        <w:spacing w:line="560" w:lineRule="exact"/>
        <w:jc w:val="center"/>
        <w:rPr>
          <w:rFonts w:hint="eastAsia" w:ascii="宋体" w:hAnsi="宋体" w:cs="宋体"/>
          <w:b/>
          <w:bCs/>
          <w:sz w:val="32"/>
          <w:szCs w:val="32"/>
          <w:highlight w:val="none"/>
        </w:rPr>
      </w:pPr>
      <w:r>
        <w:rPr>
          <w:rFonts w:hint="eastAsia" w:ascii="宋体" w:hAnsi="宋体" w:cs="宋体"/>
          <w:sz w:val="24"/>
          <w:highlight w:val="none"/>
        </w:rPr>
        <w:br w:type="page" w:clear="all"/>
      </w:r>
      <w:bookmarkStart w:id="144" w:name="_Toc406_WPSOffice_Level2"/>
      <w:r>
        <w:rPr>
          <w:rFonts w:hint="eastAsia" w:ascii="宋体" w:hAnsi="宋体" w:cs="宋体"/>
          <w:b/>
          <w:bCs/>
          <w:sz w:val="32"/>
          <w:szCs w:val="32"/>
          <w:highlight w:val="none"/>
        </w:rPr>
        <w:t>法定代表人授权委托书</w:t>
      </w:r>
      <w:bookmarkEnd w:id="144"/>
    </w:p>
    <w:p w14:paraId="5C844E39">
      <w:pPr>
        <w:pStyle w:val="613"/>
        <w:spacing w:line="600" w:lineRule="exact"/>
        <w:rPr>
          <w:rFonts w:hint="eastAsia" w:ascii="宋体" w:hAnsi="宋体" w:cs="宋体"/>
          <w:sz w:val="32"/>
          <w:highlight w:val="none"/>
        </w:rPr>
      </w:pPr>
    </w:p>
    <w:p w14:paraId="5AB9DA17">
      <w:pPr>
        <w:pStyle w:val="516"/>
        <w:rPr>
          <w:rFonts w:hint="eastAsia" w:ascii="宋体" w:hAnsi="宋体" w:cs="宋体"/>
          <w:sz w:val="32"/>
          <w:szCs w:val="32"/>
          <w:highlight w:val="none"/>
          <w:u w:val="single"/>
        </w:rPr>
      </w:pPr>
      <w:r>
        <w:rPr>
          <w:rFonts w:hint="eastAsia" w:ascii="宋体" w:hAnsi="宋体" w:cs="宋体"/>
          <w:sz w:val="32"/>
          <w:szCs w:val="32"/>
          <w:highlight w:val="none"/>
          <w:u w:val="single"/>
        </w:rPr>
        <w:t xml:space="preserve">          </w:t>
      </w:r>
      <w:r>
        <w:rPr>
          <w:rFonts w:hint="eastAsia" w:ascii="宋体" w:hAnsi="宋体" w:cs="宋体"/>
          <w:sz w:val="24"/>
          <w:highlight w:val="none"/>
          <w:u w:val="single"/>
        </w:rPr>
        <w:t>（采购人名称）</w:t>
      </w:r>
      <w:r>
        <w:rPr>
          <w:rFonts w:hint="eastAsia" w:ascii="宋体" w:hAnsi="宋体" w:cs="宋体"/>
          <w:sz w:val="24"/>
          <w:highlight w:val="none"/>
        </w:rPr>
        <w:t>：</w:t>
      </w:r>
    </w:p>
    <w:p w14:paraId="26F08816">
      <w:pPr>
        <w:pStyle w:val="613"/>
        <w:spacing w:line="600" w:lineRule="exact"/>
        <w:rPr>
          <w:rFonts w:hint="eastAsia" w:ascii="宋体" w:hAnsi="宋体" w:cs="宋体"/>
          <w:sz w:val="24"/>
          <w:highlight w:val="none"/>
        </w:rPr>
      </w:pPr>
      <w:r>
        <w:rPr>
          <w:rFonts w:hint="eastAsia" w:ascii="宋体" w:hAnsi="宋体" w:cs="宋体"/>
          <w:sz w:val="24"/>
          <w:highlight w:val="none"/>
          <w:u w:val="single"/>
        </w:rPr>
        <w:t xml:space="preserve">      （单位名称）</w:t>
      </w:r>
      <w:r>
        <w:rPr>
          <w:rFonts w:hint="eastAsia" w:ascii="宋体" w:hAnsi="宋体" w:cs="宋体"/>
          <w:sz w:val="24"/>
          <w:highlight w:val="none"/>
        </w:rPr>
        <w:t>法定代表人授权我单位</w:t>
      </w:r>
      <w:r>
        <w:rPr>
          <w:rFonts w:hint="eastAsia" w:ascii="宋体" w:hAnsi="宋体" w:cs="宋体"/>
          <w:sz w:val="24"/>
          <w:highlight w:val="none"/>
          <w:u w:val="single"/>
        </w:rPr>
        <w:t xml:space="preserve">    （职务或职称）   （姓名）</w:t>
      </w:r>
      <w:r>
        <w:rPr>
          <w:rFonts w:hint="eastAsia" w:ascii="宋体" w:hAnsi="宋体" w:cs="宋体"/>
          <w:sz w:val="24"/>
          <w:highlight w:val="none"/>
        </w:rPr>
        <w:t>为我单位本次授权代理人，全权处理此次</w:t>
      </w:r>
      <w:r>
        <w:rPr>
          <w:rFonts w:hint="eastAsia" w:ascii="宋体" w:hAnsi="宋体" w:cs="宋体"/>
          <w:sz w:val="24"/>
          <w:highlight w:val="none"/>
          <w:u w:val="single"/>
        </w:rPr>
        <w:t xml:space="preserve">           </w:t>
      </w:r>
      <w:r>
        <w:rPr>
          <w:rFonts w:hint="eastAsia" w:ascii="宋体" w:hAnsi="宋体" w:cs="宋体"/>
          <w:sz w:val="24"/>
          <w:highlight w:val="none"/>
        </w:rPr>
        <w:t>公开招标活动的一切事宜。</w:t>
      </w:r>
    </w:p>
    <w:p w14:paraId="74A184C3">
      <w:pPr>
        <w:pStyle w:val="613"/>
        <w:spacing w:line="600" w:lineRule="exact"/>
        <w:ind w:firstLine="630"/>
        <w:rPr>
          <w:rFonts w:hint="eastAsia" w:ascii="宋体" w:hAnsi="宋体" w:cs="宋体"/>
          <w:sz w:val="24"/>
          <w:highlight w:val="none"/>
        </w:rPr>
      </w:pPr>
      <w:r>
        <w:rPr>
          <w:rFonts w:hint="eastAsia" w:ascii="宋体" w:hAnsi="宋体" w:cs="宋体"/>
          <w:sz w:val="24"/>
          <w:highlight w:val="none"/>
        </w:rPr>
        <w:t>特此授权</w:t>
      </w:r>
    </w:p>
    <w:p w14:paraId="736F25B2">
      <w:pPr>
        <w:pStyle w:val="613"/>
        <w:spacing w:line="560" w:lineRule="exact"/>
        <w:ind w:firstLine="480"/>
        <w:rPr>
          <w:rFonts w:hint="eastAsia" w:ascii="宋体" w:hAnsi="宋体" w:cs="宋体"/>
          <w:sz w:val="24"/>
          <w:highlight w:val="none"/>
        </w:rPr>
      </w:pPr>
    </w:p>
    <w:p w14:paraId="0A061D6C">
      <w:pPr>
        <w:pStyle w:val="508"/>
        <w:spacing w:line="560" w:lineRule="exact"/>
        <w:ind w:firstLine="482"/>
        <w:rPr>
          <w:rFonts w:hint="eastAsia" w:ascii="宋体" w:hAnsi="宋体" w:cs="宋体"/>
          <w:b/>
          <w:sz w:val="24"/>
          <w:highlight w:val="none"/>
        </w:rPr>
      </w:pPr>
      <w:r>
        <w:rPr>
          <w:rFonts w:hint="eastAsia" w:ascii="宋体" w:hAnsi="宋体" w:cs="宋体"/>
          <w:b/>
          <w:sz w:val="24"/>
          <w:highlight w:val="none"/>
        </w:rPr>
        <w:t>（授权委托人出席开标会议的提供法定代表人、授权委托人身份证扫描件。如为授权委托人参加投标的，须提供开标前6个月内任意一个月投标人单位为授权委托人缴纳的社保证明材料）</w:t>
      </w:r>
    </w:p>
    <w:p w14:paraId="27A3602C">
      <w:pPr>
        <w:pStyle w:val="508"/>
        <w:spacing w:line="600" w:lineRule="exact"/>
        <w:ind w:firstLine="630"/>
        <w:rPr>
          <w:rFonts w:hint="eastAsia" w:ascii="宋体" w:hAnsi="宋体" w:cs="宋体"/>
          <w:b/>
          <w:sz w:val="24"/>
          <w:highlight w:val="none"/>
        </w:rPr>
      </w:pPr>
    </w:p>
    <w:p w14:paraId="41AD4AB5">
      <w:pPr>
        <w:pStyle w:val="613"/>
        <w:spacing w:line="700" w:lineRule="exact"/>
        <w:ind w:firstLine="629"/>
        <w:jc w:val="right"/>
        <w:rPr>
          <w:rFonts w:hint="eastAsia" w:ascii="宋体" w:hAnsi="宋体" w:cs="宋体"/>
          <w:sz w:val="24"/>
          <w:highlight w:val="none"/>
        </w:rPr>
      </w:pPr>
      <w:r>
        <w:rPr>
          <w:rFonts w:hint="eastAsia" w:ascii="宋体" w:hAnsi="宋体" w:cs="宋体"/>
          <w:sz w:val="24"/>
          <w:highlight w:val="none"/>
        </w:rPr>
        <w:t>单位名称：</w:t>
      </w:r>
      <w:r>
        <w:rPr>
          <w:rFonts w:hint="eastAsia" w:ascii="宋体" w:hAnsi="宋体" w:cs="宋体"/>
          <w:sz w:val="24"/>
          <w:highlight w:val="none"/>
          <w:u w:val="single"/>
        </w:rPr>
        <w:t xml:space="preserve">         </w:t>
      </w:r>
      <w:r>
        <w:rPr>
          <w:rFonts w:hint="eastAsia" w:ascii="宋体" w:hAnsi="宋体" w:cs="宋体"/>
          <w:highlight w:val="none"/>
          <w:u w:val="single"/>
        </w:rPr>
        <w:t>（公章）</w:t>
      </w:r>
    </w:p>
    <w:p w14:paraId="3017C99D">
      <w:pPr>
        <w:pStyle w:val="613"/>
        <w:spacing w:line="700" w:lineRule="exact"/>
        <w:ind w:firstLine="629"/>
        <w:jc w:val="right"/>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s="宋体"/>
          <w:sz w:val="24"/>
          <w:highlight w:val="none"/>
          <w:u w:val="single"/>
        </w:rPr>
        <w:t xml:space="preserve">           </w:t>
      </w:r>
      <w:r>
        <w:rPr>
          <w:rFonts w:hint="eastAsia" w:ascii="宋体" w:hAnsi="宋体" w:cs="宋体"/>
          <w:sz w:val="24"/>
          <w:highlight w:val="none"/>
        </w:rPr>
        <w:t>（签字或签章）</w:t>
      </w:r>
    </w:p>
    <w:p w14:paraId="1B9E46EE">
      <w:pPr>
        <w:pStyle w:val="613"/>
        <w:spacing w:line="700" w:lineRule="exact"/>
        <w:ind w:firstLine="629"/>
        <w:jc w:val="right"/>
        <w:rPr>
          <w:rFonts w:hint="eastAsia" w:ascii="宋体" w:hAnsi="宋体" w:cs="宋体"/>
          <w:sz w:val="24"/>
          <w:highlight w:val="none"/>
        </w:rPr>
      </w:pPr>
      <w:r>
        <w:rPr>
          <w:rFonts w:hint="eastAsia" w:ascii="宋体" w:hAnsi="宋体" w:cs="宋体"/>
          <w:sz w:val="24"/>
          <w:highlight w:val="none"/>
        </w:rPr>
        <w:t>法人授权代表：</w:t>
      </w:r>
      <w:r>
        <w:rPr>
          <w:rFonts w:hint="eastAsia" w:ascii="宋体" w:hAnsi="宋体" w:cs="宋体"/>
          <w:sz w:val="24"/>
          <w:highlight w:val="none"/>
          <w:u w:val="single"/>
        </w:rPr>
        <w:t xml:space="preserve">              </w:t>
      </w:r>
      <w:r>
        <w:rPr>
          <w:rFonts w:hint="eastAsia" w:ascii="宋体" w:hAnsi="宋体" w:cs="宋体"/>
          <w:sz w:val="24"/>
          <w:highlight w:val="none"/>
        </w:rPr>
        <w:t>（签字）</w:t>
      </w:r>
    </w:p>
    <w:p w14:paraId="2213E976">
      <w:pPr>
        <w:pStyle w:val="554"/>
        <w:ind w:firstLine="720"/>
        <w:jc w:val="right"/>
        <w:rPr>
          <w:rFonts w:hint="eastAsia" w:ascii="宋体" w:hAnsi="宋体" w:cs="宋体"/>
          <w:highlight w:val="none"/>
        </w:rPr>
      </w:pP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70F014E7">
      <w:pPr>
        <w:pStyle w:val="521"/>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45" w:name="_Toc12853"/>
      <w:bookmarkStart w:id="146" w:name="_Toc199794505"/>
      <w:bookmarkStart w:id="147" w:name="_Toc514054494"/>
      <w:r>
        <w:rPr>
          <w:rFonts w:hint="eastAsia" w:ascii="宋体" w:hAnsi="宋体" w:eastAsia="宋体" w:cs="宋体"/>
          <w:highlight w:val="none"/>
        </w:rPr>
        <w:t>十、开标一览表</w:t>
      </w:r>
      <w:bookmarkEnd w:id="145"/>
      <w:bookmarkEnd w:id="146"/>
      <w:bookmarkEnd w:id="147"/>
    </w:p>
    <w:p w14:paraId="455ED53C">
      <w:pPr>
        <w:rPr>
          <w:b/>
          <w:bCs/>
          <w:sz w:val="24"/>
          <w:szCs w:val="28"/>
          <w:highlight w:val="none"/>
        </w:rPr>
      </w:pPr>
      <w:bookmarkStart w:id="148" w:name="_Toc199794506"/>
      <w:r>
        <w:rPr>
          <w:rFonts w:hint="eastAsia"/>
          <w:b/>
          <w:bCs/>
          <w:sz w:val="24"/>
          <w:szCs w:val="28"/>
          <w:highlight w:val="none"/>
        </w:rPr>
        <w:t>投标人全称（公章）：</w:t>
      </w:r>
      <w:bookmarkEnd w:id="148"/>
    </w:p>
    <w:p w14:paraId="62272740">
      <w:pPr>
        <w:rPr>
          <w:b/>
          <w:bCs/>
          <w:sz w:val="24"/>
          <w:szCs w:val="28"/>
          <w:highlight w:val="none"/>
        </w:rPr>
      </w:pPr>
      <w:bookmarkStart w:id="149" w:name="_Toc199794507"/>
      <w:r>
        <w:rPr>
          <w:rFonts w:hint="eastAsia"/>
          <w:b/>
          <w:bCs/>
          <w:sz w:val="24"/>
          <w:szCs w:val="28"/>
          <w:highlight w:val="none"/>
        </w:rPr>
        <w:t>项目编号：</w:t>
      </w:r>
      <w:bookmarkEnd w:id="149"/>
    </w:p>
    <w:p w14:paraId="1319B4E5">
      <w:pPr>
        <w:rPr>
          <w:b/>
          <w:bCs/>
          <w:sz w:val="24"/>
          <w:szCs w:val="28"/>
          <w:highlight w:val="none"/>
        </w:rPr>
      </w:pPr>
      <w:bookmarkStart w:id="150" w:name="_Toc199794508"/>
      <w:r>
        <w:rPr>
          <w:rFonts w:hint="eastAsia"/>
          <w:b/>
          <w:bCs/>
          <w:sz w:val="24"/>
          <w:szCs w:val="28"/>
          <w:highlight w:val="none"/>
        </w:rPr>
        <w:t>项目名称：</w:t>
      </w:r>
      <w:bookmarkEnd w:id="150"/>
    </w:p>
    <w:p w14:paraId="5C3D6538">
      <w:pPr>
        <w:rPr>
          <w:b/>
          <w:bCs/>
          <w:sz w:val="24"/>
          <w:szCs w:val="28"/>
          <w:highlight w:val="none"/>
        </w:rPr>
      </w:pPr>
      <w:r>
        <w:rPr>
          <w:rFonts w:hint="eastAsia"/>
          <w:b/>
          <w:bCs/>
          <w:sz w:val="24"/>
          <w:szCs w:val="28"/>
          <w:highlight w:val="none"/>
        </w:rPr>
        <w:t>分包号：</w:t>
      </w:r>
    </w:p>
    <w:tbl>
      <w:tblPr>
        <w:tblStyle w:val="34"/>
        <w:tblW w:w="8206" w:type="dxa"/>
        <w:tblCellSpacing w:w="0" w:type="dxa"/>
        <w:tblInd w:w="0" w:type="dxa"/>
        <w:tblLayout w:type="fixed"/>
        <w:tblCellMar>
          <w:top w:w="0" w:type="dxa"/>
          <w:left w:w="108" w:type="dxa"/>
          <w:bottom w:w="0" w:type="dxa"/>
          <w:right w:w="108" w:type="dxa"/>
        </w:tblCellMar>
      </w:tblPr>
      <w:tblGrid>
        <w:gridCol w:w="8206"/>
      </w:tblGrid>
      <w:tr w14:paraId="363FF32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A60FFBE">
            <w:pPr>
              <w:pStyle w:val="285"/>
              <w:jc w:val="both"/>
              <w:rPr>
                <w:rFonts w:hint="eastAsia" w:hAnsi="宋体" w:cs="宋体"/>
                <w:highlight w:val="none"/>
                <w:u w:val="single"/>
              </w:rPr>
            </w:pPr>
            <w:r>
              <w:rPr>
                <w:rFonts w:hint="eastAsia" w:hAnsi="宋体" w:cs="宋体"/>
                <w:highlight w:val="none"/>
              </w:rPr>
              <w:t xml:space="preserve">投标报价：  </w:t>
            </w:r>
            <w:r>
              <w:rPr>
                <w:rFonts w:hint="eastAsia" w:hAnsi="宋体" w:cs="宋体"/>
                <w:bCs/>
                <w:szCs w:val="24"/>
                <w:highlight w:val="none"/>
                <w:u w:val="single"/>
              </w:rPr>
              <w:t xml:space="preserve">     </w:t>
            </w:r>
            <w:r>
              <w:rPr>
                <w:rFonts w:hint="eastAsia" w:hAnsi="宋体" w:cs="宋体"/>
                <w:bCs/>
                <w:szCs w:val="24"/>
                <w:highlight w:val="none"/>
              </w:rPr>
              <w:t>元</w:t>
            </w:r>
          </w:p>
        </w:tc>
      </w:tr>
    </w:tbl>
    <w:p w14:paraId="4E60759D">
      <w:pPr>
        <w:pStyle w:val="285"/>
        <w:jc w:val="both"/>
        <w:rPr>
          <w:rFonts w:hint="eastAsia" w:hAnsi="宋体" w:cs="宋体"/>
          <w:highlight w:val="none"/>
        </w:rPr>
      </w:pPr>
      <w:bookmarkStart w:id="151" w:name="_Toc514054495"/>
      <w:bookmarkStart w:id="152" w:name="_Toc8851"/>
      <w:r>
        <w:rPr>
          <w:rFonts w:hint="eastAsia" w:hAnsi="宋体" w:cs="宋体"/>
          <w:highlight w:val="none"/>
        </w:rPr>
        <w:t xml:space="preserve">  日期：  </w:t>
      </w:r>
      <w:r>
        <w:rPr>
          <w:rFonts w:hint="eastAsia" w:hAnsi="宋体" w:cs="宋体"/>
          <w:highlight w:val="none"/>
          <w:u w:val="single"/>
        </w:rPr>
        <w:t xml:space="preserve">     </w:t>
      </w:r>
      <w:r>
        <w:rPr>
          <w:rFonts w:hint="eastAsia" w:hAnsi="宋体" w:cs="宋体"/>
          <w:highlight w:val="none"/>
        </w:rPr>
        <w:t>年</w:t>
      </w:r>
      <w:r>
        <w:rPr>
          <w:rFonts w:hint="eastAsia" w:hAnsi="宋体" w:cs="宋体"/>
          <w:highlight w:val="none"/>
          <w:u w:val="single"/>
        </w:rPr>
        <w:t xml:space="preserve">   </w:t>
      </w:r>
      <w:r>
        <w:rPr>
          <w:rFonts w:hint="eastAsia" w:hAnsi="宋体" w:cs="宋体"/>
          <w:highlight w:val="none"/>
        </w:rPr>
        <w:t>月</w:t>
      </w:r>
      <w:r>
        <w:rPr>
          <w:rFonts w:hint="eastAsia" w:hAnsi="宋体" w:cs="宋体"/>
          <w:highlight w:val="none"/>
          <w:u w:val="single"/>
        </w:rPr>
        <w:t xml:space="preserve">   </w:t>
      </w:r>
      <w:r>
        <w:rPr>
          <w:rFonts w:hint="eastAsia" w:hAnsi="宋体" w:cs="宋体"/>
          <w:highlight w:val="none"/>
        </w:rPr>
        <w:t>日</w:t>
      </w:r>
    </w:p>
    <w:p w14:paraId="658CDC54">
      <w:pPr>
        <w:widowControl/>
        <w:jc w:val="both"/>
        <w:rPr>
          <w:rFonts w:hint="eastAsia" w:ascii="宋体" w:hAnsi="宋体" w:eastAsia="宋体" w:cs="宋体"/>
          <w:b/>
          <w:sz w:val="32"/>
          <w:szCs w:val="24"/>
          <w:highlight w:val="none"/>
          <w:lang w:val="en-US" w:eastAsia="zh-CN"/>
        </w:rPr>
      </w:pPr>
      <w:r>
        <w:rPr>
          <w:rFonts w:hint="eastAsia" w:ascii="宋体" w:hAnsi="宋体" w:cs="宋体"/>
          <w:color w:val="FF0000"/>
          <w:sz w:val="24"/>
          <w:szCs w:val="28"/>
          <w:highlight w:val="none"/>
          <w:lang w:val="en-US" w:eastAsia="zh-CN"/>
        </w:rPr>
        <w:t>注：投标人按照服务期3年进行报价。</w:t>
      </w:r>
      <w:r>
        <w:rPr>
          <w:rFonts w:hint="eastAsia" w:ascii="宋体" w:hAnsi="宋体" w:cs="宋体"/>
          <w:highlight w:val="none"/>
        </w:rPr>
        <w:br w:type="page"/>
      </w:r>
    </w:p>
    <w:p w14:paraId="67ED699D">
      <w:pPr>
        <w:pStyle w:val="542"/>
        <w:outlineLvl w:val="1"/>
        <w:rPr>
          <w:rFonts w:hint="eastAsia" w:ascii="宋体" w:hAnsi="宋体" w:eastAsia="宋体" w:cs="宋体"/>
          <w:highlight w:val="none"/>
        </w:rPr>
      </w:pPr>
      <w:bookmarkStart w:id="153" w:name="_Toc199794509"/>
      <w:r>
        <w:rPr>
          <w:rFonts w:hint="eastAsia" w:ascii="宋体" w:hAnsi="宋体" w:eastAsia="宋体" w:cs="宋体"/>
          <w:highlight w:val="none"/>
        </w:rPr>
        <w:t>十一、明细报价表</w:t>
      </w:r>
      <w:bookmarkEnd w:id="151"/>
      <w:bookmarkEnd w:id="152"/>
      <w:r>
        <w:rPr>
          <w:rFonts w:hint="eastAsia" w:ascii="宋体" w:hAnsi="宋体" w:eastAsia="宋体" w:cs="宋体"/>
          <w:highlight w:val="none"/>
        </w:rPr>
        <w:t>（格式自拟）</w:t>
      </w:r>
      <w:bookmarkEnd w:id="153"/>
    </w:p>
    <w:tbl>
      <w:tblPr>
        <w:tblStyle w:val="34"/>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1464"/>
        <w:gridCol w:w="2079"/>
        <w:gridCol w:w="2127"/>
        <w:gridCol w:w="1490"/>
        <w:gridCol w:w="1490"/>
      </w:tblGrid>
      <w:tr w14:paraId="463F6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985" w:type="dxa"/>
            <w:vAlign w:val="center"/>
          </w:tcPr>
          <w:p w14:paraId="19F9A9D8">
            <w:pPr>
              <w:pStyle w:val="388"/>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序号</w:t>
            </w:r>
          </w:p>
        </w:tc>
        <w:tc>
          <w:tcPr>
            <w:tcW w:w="1464" w:type="dxa"/>
            <w:vAlign w:val="center"/>
          </w:tcPr>
          <w:p w14:paraId="19F575F9">
            <w:pPr>
              <w:pStyle w:val="388"/>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名称</w:t>
            </w:r>
          </w:p>
        </w:tc>
        <w:tc>
          <w:tcPr>
            <w:tcW w:w="2079" w:type="dxa"/>
            <w:vAlign w:val="center"/>
          </w:tcPr>
          <w:p w14:paraId="78BB9544">
            <w:pPr>
              <w:pStyle w:val="388"/>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单价</w:t>
            </w:r>
          </w:p>
        </w:tc>
        <w:tc>
          <w:tcPr>
            <w:tcW w:w="2127" w:type="dxa"/>
          </w:tcPr>
          <w:p w14:paraId="4F5A3A4D">
            <w:pPr>
              <w:pStyle w:val="388"/>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数量.单位</w:t>
            </w:r>
          </w:p>
        </w:tc>
        <w:tc>
          <w:tcPr>
            <w:tcW w:w="1490" w:type="dxa"/>
            <w:vAlign w:val="center"/>
          </w:tcPr>
          <w:p w14:paraId="537B8BB1">
            <w:pPr>
              <w:pStyle w:val="388"/>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单价</w:t>
            </w:r>
          </w:p>
        </w:tc>
        <w:tc>
          <w:tcPr>
            <w:tcW w:w="1490" w:type="dxa"/>
          </w:tcPr>
          <w:p w14:paraId="45AAD879">
            <w:pPr>
              <w:pStyle w:val="388"/>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备注</w:t>
            </w:r>
          </w:p>
        </w:tc>
      </w:tr>
      <w:tr w14:paraId="61FF9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985" w:type="dxa"/>
          </w:tcPr>
          <w:p w14:paraId="091C83E0">
            <w:pPr>
              <w:pStyle w:val="388"/>
              <w:widowControl/>
              <w:spacing w:line="560" w:lineRule="exact"/>
              <w:rPr>
                <w:rFonts w:hint="eastAsia" w:ascii="宋体" w:hAnsi="宋体" w:cs="宋体"/>
                <w:sz w:val="28"/>
                <w:szCs w:val="28"/>
                <w:highlight w:val="none"/>
              </w:rPr>
            </w:pPr>
          </w:p>
        </w:tc>
        <w:tc>
          <w:tcPr>
            <w:tcW w:w="1464" w:type="dxa"/>
          </w:tcPr>
          <w:p w14:paraId="25FBD542">
            <w:pPr>
              <w:pStyle w:val="388"/>
              <w:widowControl/>
              <w:spacing w:line="560" w:lineRule="exact"/>
              <w:jc w:val="center"/>
              <w:rPr>
                <w:rFonts w:hint="eastAsia" w:ascii="宋体" w:hAnsi="宋体" w:cs="宋体"/>
                <w:sz w:val="24"/>
                <w:highlight w:val="none"/>
              </w:rPr>
            </w:pPr>
          </w:p>
        </w:tc>
        <w:tc>
          <w:tcPr>
            <w:tcW w:w="2079" w:type="dxa"/>
          </w:tcPr>
          <w:p w14:paraId="4931173F">
            <w:pPr>
              <w:pStyle w:val="388"/>
              <w:widowControl/>
              <w:spacing w:line="560" w:lineRule="exact"/>
              <w:jc w:val="center"/>
              <w:rPr>
                <w:rFonts w:hint="eastAsia" w:ascii="宋体" w:hAnsi="宋体" w:cs="宋体"/>
                <w:sz w:val="24"/>
                <w:highlight w:val="none"/>
              </w:rPr>
            </w:pPr>
          </w:p>
        </w:tc>
        <w:tc>
          <w:tcPr>
            <w:tcW w:w="2127" w:type="dxa"/>
          </w:tcPr>
          <w:p w14:paraId="7B55B6A8">
            <w:pPr>
              <w:pStyle w:val="388"/>
              <w:spacing w:line="560" w:lineRule="exact"/>
              <w:jc w:val="center"/>
              <w:rPr>
                <w:rFonts w:hint="eastAsia" w:ascii="宋体" w:hAnsi="宋体" w:cs="宋体"/>
                <w:sz w:val="24"/>
                <w:highlight w:val="none"/>
              </w:rPr>
            </w:pPr>
          </w:p>
        </w:tc>
        <w:tc>
          <w:tcPr>
            <w:tcW w:w="1490" w:type="dxa"/>
            <w:vAlign w:val="center"/>
          </w:tcPr>
          <w:p w14:paraId="224D4504">
            <w:pPr>
              <w:pStyle w:val="388"/>
              <w:spacing w:line="560" w:lineRule="exact"/>
              <w:jc w:val="center"/>
              <w:rPr>
                <w:rFonts w:hint="eastAsia" w:ascii="宋体" w:hAnsi="宋体" w:cs="宋体"/>
                <w:sz w:val="24"/>
                <w:highlight w:val="none"/>
              </w:rPr>
            </w:pPr>
          </w:p>
        </w:tc>
        <w:tc>
          <w:tcPr>
            <w:tcW w:w="1490" w:type="dxa"/>
          </w:tcPr>
          <w:p w14:paraId="095D7935">
            <w:pPr>
              <w:pStyle w:val="388"/>
              <w:spacing w:line="560" w:lineRule="exact"/>
              <w:jc w:val="center"/>
              <w:rPr>
                <w:rFonts w:hint="eastAsia" w:ascii="宋体" w:hAnsi="宋体" w:cs="宋体"/>
                <w:sz w:val="24"/>
                <w:highlight w:val="none"/>
              </w:rPr>
            </w:pPr>
          </w:p>
        </w:tc>
      </w:tr>
      <w:tr w14:paraId="36D86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85" w:type="dxa"/>
          </w:tcPr>
          <w:p w14:paraId="252C92F2">
            <w:pPr>
              <w:pStyle w:val="388"/>
              <w:widowControl/>
              <w:spacing w:line="560" w:lineRule="exact"/>
              <w:rPr>
                <w:rFonts w:hint="eastAsia" w:ascii="宋体" w:hAnsi="宋体" w:cs="宋体"/>
                <w:sz w:val="28"/>
                <w:szCs w:val="28"/>
                <w:highlight w:val="none"/>
              </w:rPr>
            </w:pPr>
          </w:p>
        </w:tc>
        <w:tc>
          <w:tcPr>
            <w:tcW w:w="1464" w:type="dxa"/>
          </w:tcPr>
          <w:p w14:paraId="3A0E0B0E">
            <w:pPr>
              <w:pStyle w:val="388"/>
              <w:widowControl/>
              <w:spacing w:line="560" w:lineRule="exact"/>
              <w:jc w:val="center"/>
              <w:rPr>
                <w:rFonts w:hint="eastAsia" w:ascii="宋体" w:hAnsi="宋体" w:cs="宋体"/>
                <w:sz w:val="24"/>
                <w:highlight w:val="none"/>
              </w:rPr>
            </w:pPr>
          </w:p>
        </w:tc>
        <w:tc>
          <w:tcPr>
            <w:tcW w:w="2079" w:type="dxa"/>
          </w:tcPr>
          <w:p w14:paraId="47CAFA51">
            <w:pPr>
              <w:pStyle w:val="388"/>
              <w:widowControl/>
              <w:spacing w:line="560" w:lineRule="exact"/>
              <w:jc w:val="center"/>
              <w:rPr>
                <w:rFonts w:hint="eastAsia" w:ascii="宋体" w:hAnsi="宋体" w:cs="宋体"/>
                <w:sz w:val="24"/>
                <w:highlight w:val="none"/>
              </w:rPr>
            </w:pPr>
          </w:p>
        </w:tc>
        <w:tc>
          <w:tcPr>
            <w:tcW w:w="2127" w:type="dxa"/>
          </w:tcPr>
          <w:p w14:paraId="50F1D449">
            <w:pPr>
              <w:pStyle w:val="388"/>
              <w:spacing w:line="560" w:lineRule="exact"/>
              <w:jc w:val="center"/>
              <w:rPr>
                <w:rFonts w:hint="eastAsia" w:ascii="宋体" w:hAnsi="宋体" w:cs="宋体"/>
                <w:sz w:val="24"/>
                <w:highlight w:val="none"/>
              </w:rPr>
            </w:pPr>
          </w:p>
        </w:tc>
        <w:tc>
          <w:tcPr>
            <w:tcW w:w="1490" w:type="dxa"/>
            <w:vAlign w:val="center"/>
          </w:tcPr>
          <w:p w14:paraId="6869CCB5">
            <w:pPr>
              <w:pStyle w:val="388"/>
              <w:spacing w:line="560" w:lineRule="exact"/>
              <w:jc w:val="center"/>
              <w:rPr>
                <w:rFonts w:hint="eastAsia" w:ascii="宋体" w:hAnsi="宋体" w:cs="宋体"/>
                <w:sz w:val="24"/>
                <w:highlight w:val="none"/>
              </w:rPr>
            </w:pPr>
          </w:p>
        </w:tc>
        <w:tc>
          <w:tcPr>
            <w:tcW w:w="1490" w:type="dxa"/>
          </w:tcPr>
          <w:p w14:paraId="3DDF33F0">
            <w:pPr>
              <w:pStyle w:val="388"/>
              <w:spacing w:line="560" w:lineRule="exact"/>
              <w:jc w:val="center"/>
              <w:rPr>
                <w:rFonts w:hint="eastAsia" w:ascii="宋体" w:hAnsi="宋体" w:cs="宋体"/>
                <w:sz w:val="24"/>
                <w:highlight w:val="none"/>
              </w:rPr>
            </w:pPr>
          </w:p>
        </w:tc>
      </w:tr>
      <w:tr w14:paraId="065F2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85" w:type="dxa"/>
          </w:tcPr>
          <w:p w14:paraId="26BB3EF0">
            <w:pPr>
              <w:pStyle w:val="388"/>
              <w:widowControl/>
              <w:spacing w:line="560" w:lineRule="exact"/>
              <w:rPr>
                <w:rFonts w:hint="eastAsia" w:ascii="宋体" w:hAnsi="宋体" w:cs="宋体"/>
                <w:sz w:val="28"/>
                <w:szCs w:val="28"/>
                <w:highlight w:val="none"/>
              </w:rPr>
            </w:pPr>
          </w:p>
        </w:tc>
        <w:tc>
          <w:tcPr>
            <w:tcW w:w="1464" w:type="dxa"/>
          </w:tcPr>
          <w:p w14:paraId="786A49B0">
            <w:pPr>
              <w:pStyle w:val="388"/>
              <w:widowControl/>
              <w:spacing w:line="560" w:lineRule="exact"/>
              <w:jc w:val="center"/>
              <w:rPr>
                <w:rFonts w:hint="eastAsia" w:ascii="宋体" w:hAnsi="宋体" w:cs="宋体"/>
                <w:sz w:val="24"/>
                <w:highlight w:val="none"/>
              </w:rPr>
            </w:pPr>
          </w:p>
        </w:tc>
        <w:tc>
          <w:tcPr>
            <w:tcW w:w="2079" w:type="dxa"/>
          </w:tcPr>
          <w:p w14:paraId="2099D03D">
            <w:pPr>
              <w:pStyle w:val="388"/>
              <w:widowControl/>
              <w:spacing w:line="560" w:lineRule="exact"/>
              <w:jc w:val="center"/>
              <w:rPr>
                <w:rFonts w:hint="eastAsia" w:ascii="宋体" w:hAnsi="宋体" w:cs="宋体"/>
                <w:sz w:val="24"/>
                <w:highlight w:val="none"/>
              </w:rPr>
            </w:pPr>
          </w:p>
        </w:tc>
        <w:tc>
          <w:tcPr>
            <w:tcW w:w="2127" w:type="dxa"/>
          </w:tcPr>
          <w:p w14:paraId="47D66BD5">
            <w:pPr>
              <w:pStyle w:val="388"/>
              <w:spacing w:line="560" w:lineRule="exact"/>
              <w:jc w:val="center"/>
              <w:rPr>
                <w:rFonts w:hint="eastAsia" w:ascii="宋体" w:hAnsi="宋体" w:cs="宋体"/>
                <w:sz w:val="24"/>
                <w:highlight w:val="none"/>
              </w:rPr>
            </w:pPr>
          </w:p>
        </w:tc>
        <w:tc>
          <w:tcPr>
            <w:tcW w:w="1490" w:type="dxa"/>
            <w:vAlign w:val="center"/>
          </w:tcPr>
          <w:p w14:paraId="07F3A2A6">
            <w:pPr>
              <w:pStyle w:val="388"/>
              <w:spacing w:line="560" w:lineRule="exact"/>
              <w:jc w:val="center"/>
              <w:rPr>
                <w:rFonts w:hint="eastAsia" w:ascii="宋体" w:hAnsi="宋体" w:cs="宋体"/>
                <w:sz w:val="24"/>
                <w:highlight w:val="none"/>
              </w:rPr>
            </w:pPr>
          </w:p>
        </w:tc>
        <w:tc>
          <w:tcPr>
            <w:tcW w:w="1490" w:type="dxa"/>
          </w:tcPr>
          <w:p w14:paraId="28B36CBC">
            <w:pPr>
              <w:pStyle w:val="388"/>
              <w:spacing w:line="560" w:lineRule="exact"/>
              <w:jc w:val="center"/>
              <w:rPr>
                <w:rFonts w:hint="eastAsia" w:ascii="宋体" w:hAnsi="宋体" w:cs="宋体"/>
                <w:sz w:val="24"/>
                <w:highlight w:val="none"/>
              </w:rPr>
            </w:pPr>
          </w:p>
        </w:tc>
      </w:tr>
      <w:tr w14:paraId="7C434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85" w:type="dxa"/>
          </w:tcPr>
          <w:p w14:paraId="0B209C70">
            <w:pPr>
              <w:pStyle w:val="388"/>
              <w:widowControl/>
              <w:spacing w:line="560" w:lineRule="exact"/>
              <w:rPr>
                <w:rFonts w:hint="eastAsia" w:ascii="宋体" w:hAnsi="宋体" w:cs="宋体"/>
                <w:sz w:val="28"/>
                <w:szCs w:val="28"/>
                <w:highlight w:val="none"/>
              </w:rPr>
            </w:pPr>
          </w:p>
        </w:tc>
        <w:tc>
          <w:tcPr>
            <w:tcW w:w="1464" w:type="dxa"/>
          </w:tcPr>
          <w:p w14:paraId="7D1E3DAA">
            <w:pPr>
              <w:pStyle w:val="388"/>
              <w:widowControl/>
              <w:spacing w:line="560" w:lineRule="exact"/>
              <w:jc w:val="center"/>
              <w:rPr>
                <w:rFonts w:hint="eastAsia" w:ascii="宋体" w:hAnsi="宋体" w:cs="宋体"/>
                <w:sz w:val="24"/>
                <w:highlight w:val="none"/>
              </w:rPr>
            </w:pPr>
          </w:p>
        </w:tc>
        <w:tc>
          <w:tcPr>
            <w:tcW w:w="2079" w:type="dxa"/>
          </w:tcPr>
          <w:p w14:paraId="0C309FD1">
            <w:pPr>
              <w:pStyle w:val="388"/>
              <w:widowControl/>
              <w:spacing w:line="560" w:lineRule="exact"/>
              <w:jc w:val="center"/>
              <w:rPr>
                <w:rFonts w:hint="eastAsia" w:ascii="宋体" w:hAnsi="宋体" w:cs="宋体"/>
                <w:sz w:val="24"/>
                <w:highlight w:val="none"/>
              </w:rPr>
            </w:pPr>
          </w:p>
        </w:tc>
        <w:tc>
          <w:tcPr>
            <w:tcW w:w="2127" w:type="dxa"/>
          </w:tcPr>
          <w:p w14:paraId="406FCE8C">
            <w:pPr>
              <w:pStyle w:val="388"/>
              <w:spacing w:line="560" w:lineRule="exact"/>
              <w:jc w:val="center"/>
              <w:rPr>
                <w:rFonts w:hint="eastAsia" w:ascii="宋体" w:hAnsi="宋体" w:cs="宋体"/>
                <w:sz w:val="24"/>
                <w:highlight w:val="none"/>
              </w:rPr>
            </w:pPr>
          </w:p>
        </w:tc>
        <w:tc>
          <w:tcPr>
            <w:tcW w:w="1490" w:type="dxa"/>
            <w:vAlign w:val="center"/>
          </w:tcPr>
          <w:p w14:paraId="1C539E7D">
            <w:pPr>
              <w:pStyle w:val="388"/>
              <w:spacing w:line="560" w:lineRule="exact"/>
              <w:jc w:val="center"/>
              <w:rPr>
                <w:rFonts w:hint="eastAsia" w:ascii="宋体" w:hAnsi="宋体" w:cs="宋体"/>
                <w:sz w:val="24"/>
                <w:highlight w:val="none"/>
              </w:rPr>
            </w:pPr>
          </w:p>
        </w:tc>
        <w:tc>
          <w:tcPr>
            <w:tcW w:w="1490" w:type="dxa"/>
          </w:tcPr>
          <w:p w14:paraId="4EF3DBC7">
            <w:pPr>
              <w:pStyle w:val="388"/>
              <w:spacing w:line="560" w:lineRule="exact"/>
              <w:jc w:val="center"/>
              <w:rPr>
                <w:rFonts w:hint="eastAsia" w:ascii="宋体" w:hAnsi="宋体" w:cs="宋体"/>
                <w:sz w:val="24"/>
                <w:highlight w:val="none"/>
              </w:rPr>
            </w:pPr>
          </w:p>
        </w:tc>
      </w:tr>
      <w:tr w14:paraId="5AB70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985" w:type="dxa"/>
          </w:tcPr>
          <w:p w14:paraId="3D1D580C">
            <w:pPr>
              <w:pStyle w:val="388"/>
              <w:widowControl/>
              <w:spacing w:line="560" w:lineRule="exact"/>
              <w:rPr>
                <w:rFonts w:hint="eastAsia" w:ascii="宋体" w:hAnsi="宋体" w:cs="宋体"/>
                <w:sz w:val="28"/>
                <w:szCs w:val="28"/>
                <w:highlight w:val="none"/>
              </w:rPr>
            </w:pPr>
          </w:p>
        </w:tc>
        <w:tc>
          <w:tcPr>
            <w:tcW w:w="1464" w:type="dxa"/>
          </w:tcPr>
          <w:p w14:paraId="29C78EC4">
            <w:pPr>
              <w:pStyle w:val="388"/>
              <w:widowControl/>
              <w:spacing w:line="560" w:lineRule="exact"/>
              <w:jc w:val="center"/>
              <w:rPr>
                <w:rFonts w:hint="eastAsia" w:ascii="宋体" w:hAnsi="宋体" w:cs="宋体"/>
                <w:sz w:val="24"/>
                <w:highlight w:val="none"/>
              </w:rPr>
            </w:pPr>
          </w:p>
        </w:tc>
        <w:tc>
          <w:tcPr>
            <w:tcW w:w="2079" w:type="dxa"/>
          </w:tcPr>
          <w:p w14:paraId="67BCB6D7">
            <w:pPr>
              <w:pStyle w:val="388"/>
              <w:widowControl/>
              <w:spacing w:line="560" w:lineRule="exact"/>
              <w:jc w:val="center"/>
              <w:rPr>
                <w:rFonts w:hint="eastAsia" w:ascii="宋体" w:hAnsi="宋体" w:cs="宋体"/>
                <w:sz w:val="24"/>
                <w:highlight w:val="none"/>
              </w:rPr>
            </w:pPr>
          </w:p>
        </w:tc>
        <w:tc>
          <w:tcPr>
            <w:tcW w:w="2127" w:type="dxa"/>
          </w:tcPr>
          <w:p w14:paraId="4DBF3471">
            <w:pPr>
              <w:pStyle w:val="388"/>
              <w:spacing w:line="560" w:lineRule="exact"/>
              <w:jc w:val="center"/>
              <w:rPr>
                <w:rFonts w:hint="eastAsia" w:ascii="宋体" w:hAnsi="宋体" w:cs="宋体"/>
                <w:sz w:val="24"/>
                <w:highlight w:val="none"/>
              </w:rPr>
            </w:pPr>
          </w:p>
        </w:tc>
        <w:tc>
          <w:tcPr>
            <w:tcW w:w="1490" w:type="dxa"/>
            <w:vAlign w:val="center"/>
          </w:tcPr>
          <w:p w14:paraId="3B4BA0D4">
            <w:pPr>
              <w:pStyle w:val="388"/>
              <w:spacing w:line="560" w:lineRule="exact"/>
              <w:jc w:val="center"/>
              <w:rPr>
                <w:rFonts w:hint="eastAsia" w:ascii="宋体" w:hAnsi="宋体" w:cs="宋体"/>
                <w:sz w:val="24"/>
                <w:highlight w:val="none"/>
              </w:rPr>
            </w:pPr>
          </w:p>
        </w:tc>
        <w:tc>
          <w:tcPr>
            <w:tcW w:w="1490" w:type="dxa"/>
          </w:tcPr>
          <w:p w14:paraId="5F65AD52">
            <w:pPr>
              <w:pStyle w:val="388"/>
              <w:spacing w:line="560" w:lineRule="exact"/>
              <w:jc w:val="center"/>
              <w:rPr>
                <w:rFonts w:hint="eastAsia" w:ascii="宋体" w:hAnsi="宋体" w:cs="宋体"/>
                <w:sz w:val="24"/>
                <w:highlight w:val="none"/>
              </w:rPr>
            </w:pPr>
          </w:p>
        </w:tc>
      </w:tr>
      <w:tr w14:paraId="340A6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2449" w:type="dxa"/>
            <w:gridSpan w:val="2"/>
          </w:tcPr>
          <w:p w14:paraId="3AA74B69">
            <w:pPr>
              <w:pStyle w:val="388"/>
              <w:widowControl/>
              <w:spacing w:line="560" w:lineRule="exact"/>
              <w:jc w:val="center"/>
              <w:rPr>
                <w:rFonts w:hint="eastAsia" w:ascii="宋体" w:hAnsi="宋体" w:cs="宋体"/>
                <w:sz w:val="24"/>
                <w:highlight w:val="none"/>
              </w:rPr>
            </w:pPr>
            <w:r>
              <w:rPr>
                <w:rFonts w:hint="eastAsia" w:ascii="宋体" w:hAnsi="宋体" w:cs="宋体"/>
                <w:sz w:val="24"/>
                <w:highlight w:val="none"/>
              </w:rPr>
              <w:t>报价总价</w:t>
            </w:r>
          </w:p>
        </w:tc>
        <w:tc>
          <w:tcPr>
            <w:tcW w:w="7186" w:type="dxa"/>
            <w:gridSpan w:val="4"/>
          </w:tcPr>
          <w:p w14:paraId="3F04BE6E">
            <w:pPr>
              <w:pStyle w:val="388"/>
              <w:spacing w:line="560" w:lineRule="exact"/>
              <w:jc w:val="center"/>
              <w:rPr>
                <w:rFonts w:hint="eastAsia" w:ascii="宋体" w:hAnsi="宋体" w:cs="宋体"/>
                <w:sz w:val="24"/>
                <w:highlight w:val="none"/>
              </w:rPr>
            </w:pPr>
          </w:p>
        </w:tc>
      </w:tr>
    </w:tbl>
    <w:p w14:paraId="0D1751A6">
      <w:pPr>
        <w:pStyle w:val="382"/>
        <w:ind w:firstLine="629"/>
        <w:rPr>
          <w:rFonts w:hint="eastAsia" w:ascii="宋体" w:hAnsi="宋体" w:cs="宋体"/>
          <w:sz w:val="24"/>
          <w:highlight w:val="none"/>
        </w:rPr>
      </w:pPr>
      <w:bookmarkStart w:id="154" w:name="_Toc514054496"/>
    </w:p>
    <w:p w14:paraId="52A3F77D">
      <w:pPr>
        <w:pStyle w:val="285"/>
        <w:jc w:val="both"/>
        <w:rPr>
          <w:rFonts w:hint="eastAsia" w:hAnsi="宋体" w:cs="宋体"/>
          <w:highlight w:val="none"/>
        </w:rPr>
      </w:pPr>
      <w:r>
        <w:rPr>
          <w:rFonts w:hint="eastAsia" w:hAnsi="宋体" w:cs="宋体"/>
          <w:highlight w:val="none"/>
        </w:rPr>
        <w:t>单位名称：</w:t>
      </w:r>
      <w:r>
        <w:rPr>
          <w:rFonts w:hint="eastAsia" w:hAnsi="宋体" w:cs="宋体"/>
          <w:highlight w:val="none"/>
          <w:u w:val="single"/>
        </w:rPr>
        <w:t xml:space="preserve">        </w:t>
      </w:r>
      <w:r>
        <w:rPr>
          <w:rFonts w:hint="eastAsia" w:hAnsi="宋体" w:cs="宋体"/>
          <w:highlight w:val="none"/>
        </w:rPr>
        <w:t>（公章）</w:t>
      </w:r>
    </w:p>
    <w:p w14:paraId="775A5A5D">
      <w:pPr>
        <w:pStyle w:val="285"/>
        <w:jc w:val="both"/>
        <w:rPr>
          <w:rFonts w:hint="eastAsia" w:hAnsi="宋体" w:cs="宋体"/>
          <w:highlight w:val="none"/>
        </w:rPr>
      </w:pPr>
      <w:r>
        <w:rPr>
          <w:rFonts w:hint="eastAsia" w:hAnsi="宋体" w:cs="宋体"/>
          <w:highlight w:val="none"/>
        </w:rPr>
        <w:t xml:space="preserve">法定代表人（或授权代表）：（签字或签章）              </w:t>
      </w:r>
    </w:p>
    <w:p w14:paraId="60498776">
      <w:pPr>
        <w:pStyle w:val="472"/>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55" w:name="_Toc10632"/>
      <w:bookmarkStart w:id="156" w:name="_Toc199794510"/>
      <w:r>
        <w:rPr>
          <w:rFonts w:hint="eastAsia" w:ascii="宋体" w:hAnsi="宋体" w:eastAsia="宋体" w:cs="宋体"/>
          <w:highlight w:val="none"/>
        </w:rPr>
        <w:t>十二、中小企业声明函</w:t>
      </w:r>
      <w:bookmarkEnd w:id="154"/>
      <w:bookmarkEnd w:id="155"/>
      <w:bookmarkEnd w:id="156"/>
    </w:p>
    <w:p w14:paraId="7FDEA66F">
      <w:pPr>
        <w:spacing w:before="312" w:after="312" w:line="360" w:lineRule="auto"/>
        <w:jc w:val="center"/>
        <w:outlineLvl w:val="1"/>
        <w:rPr>
          <w:rFonts w:hint="eastAsia" w:ascii="宋体" w:hAnsi="宋体" w:cs="宋体"/>
          <w:b/>
          <w:bCs/>
          <w:highlight w:val="none"/>
        </w:rPr>
      </w:pPr>
      <w:r>
        <w:rPr>
          <w:rFonts w:hint="eastAsia" w:ascii="宋体" w:hAnsi="宋体" w:cs="宋体"/>
          <w:b/>
          <w:bCs/>
          <w:highlight w:val="none"/>
          <w:lang w:val="en-US" w:eastAsia="zh-CN"/>
        </w:rPr>
        <w:t xml:space="preserve"> </w:t>
      </w:r>
      <w:r>
        <w:rPr>
          <w:rFonts w:hint="eastAsia" w:ascii="宋体" w:hAnsi="宋体" w:cs="宋体"/>
          <w:b/>
          <w:bCs/>
          <w:highlight w:val="none"/>
        </w:rPr>
        <w:t>中小企业声明函（工程、服务）</w:t>
      </w:r>
    </w:p>
    <w:p w14:paraId="54D123EC">
      <w:pPr>
        <w:rPr>
          <w:rFonts w:hint="eastAsia" w:hAnsi="宋体" w:cs="宋体"/>
          <w:b w:val="0"/>
          <w:szCs w:val="24"/>
          <w:highlight w:val="none"/>
        </w:rPr>
      </w:pPr>
    </w:p>
    <w:p w14:paraId="0B4FC747">
      <w:pPr>
        <w:autoSpaceDE w:val="0"/>
        <w:autoSpaceDN w:val="0"/>
        <w:adjustRightInd w:val="0"/>
        <w:snapToGrid w:val="0"/>
        <w:spacing w:line="360" w:lineRule="auto"/>
        <w:ind w:firstLine="420" w:firstLineChars="200"/>
        <w:contextualSpacing/>
        <w:jc w:val="left"/>
        <w:rPr>
          <w:rFonts w:hint="eastAsia" w:hAnsi="宋体" w:cs="宋体"/>
          <w:b w:val="0"/>
          <w:highlight w:val="none"/>
        </w:rPr>
      </w:pPr>
      <w:r>
        <w:rPr>
          <w:rFonts w:hint="eastAsia" w:hAnsi="宋体" w:cs="宋体"/>
          <w:b w:val="0"/>
          <w:highlight w:val="none"/>
        </w:rPr>
        <w:t>本公司（联合体）郑重声明，根据《政府采购促进中小企业发展管理办法》（财库﹝2020﹞46 号）的规定，本公司（联合体）参加</w:t>
      </w:r>
      <w:r>
        <w:rPr>
          <w:rFonts w:hint="eastAsia" w:hAnsi="宋体" w:cs="宋体"/>
          <w:b w:val="0"/>
          <w:highlight w:val="none"/>
          <w:u w:val="single"/>
        </w:rPr>
        <w:t>（单位名称）</w:t>
      </w:r>
      <w:r>
        <w:rPr>
          <w:rFonts w:hint="eastAsia" w:hAnsi="宋体" w:cs="宋体"/>
          <w:b w:val="0"/>
          <w:highlight w:val="none"/>
        </w:rPr>
        <w:t>的</w:t>
      </w:r>
      <w:r>
        <w:rPr>
          <w:rFonts w:hint="eastAsia" w:hAnsi="宋体" w:cs="宋体"/>
          <w:b w:val="0"/>
          <w:highlight w:val="none"/>
          <w:u w:val="single"/>
        </w:rPr>
        <w:t>（项目名称）</w:t>
      </w:r>
      <w:r>
        <w:rPr>
          <w:rFonts w:hint="eastAsia" w:hAnsi="宋体" w:cs="宋体"/>
          <w:b w:val="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5E662FA">
      <w:pPr>
        <w:autoSpaceDE w:val="0"/>
        <w:autoSpaceDN w:val="0"/>
        <w:adjustRightInd w:val="0"/>
        <w:snapToGrid w:val="0"/>
        <w:spacing w:line="360" w:lineRule="auto"/>
        <w:ind w:firstLine="420" w:firstLineChars="200"/>
        <w:contextualSpacing/>
        <w:jc w:val="left"/>
        <w:rPr>
          <w:rFonts w:hint="eastAsia" w:hAnsi="宋体" w:cs="宋体"/>
          <w:b w:val="0"/>
          <w:highlight w:val="none"/>
        </w:rPr>
      </w:pPr>
      <w:r>
        <w:rPr>
          <w:rFonts w:hint="eastAsia" w:hAnsi="宋体" w:cs="宋体"/>
          <w:b w:val="0"/>
          <w:highlight w:val="none"/>
        </w:rPr>
        <w:t xml:space="preserve">1. </w:t>
      </w:r>
      <w:r>
        <w:rPr>
          <w:rFonts w:hint="eastAsia" w:hAnsi="宋体" w:cs="宋体"/>
          <w:b w:val="0"/>
          <w:highlight w:val="none"/>
          <w:u w:val="single"/>
        </w:rPr>
        <w:t>（标的名称）</w:t>
      </w:r>
      <w:r>
        <w:rPr>
          <w:rFonts w:hint="eastAsia" w:hAnsi="宋体" w:cs="宋体"/>
          <w:b w:val="0"/>
          <w:highlight w:val="none"/>
        </w:rPr>
        <w:t>，属于</w:t>
      </w:r>
      <w:r>
        <w:rPr>
          <w:rFonts w:hint="eastAsia" w:hAnsi="宋体" w:cs="宋体"/>
          <w:b w:val="0"/>
          <w:highlight w:val="none"/>
          <w:u w:val="single"/>
        </w:rPr>
        <w:t>（招标文件中明确的所属行业）</w:t>
      </w:r>
      <w:r>
        <w:rPr>
          <w:rFonts w:hint="eastAsia" w:hAnsi="宋体" w:cs="宋体"/>
          <w:b w:val="0"/>
          <w:highlight w:val="none"/>
        </w:rPr>
        <w:t>；承建（承接）企业为</w:t>
      </w:r>
      <w:r>
        <w:rPr>
          <w:rFonts w:hint="eastAsia" w:hAnsi="宋体" w:cs="宋体"/>
          <w:b w:val="0"/>
          <w:highlight w:val="none"/>
          <w:u w:val="single"/>
        </w:rPr>
        <w:t>（企业名称）</w:t>
      </w:r>
      <w:r>
        <w:rPr>
          <w:rFonts w:hint="eastAsia" w:hAnsi="宋体" w:cs="宋体"/>
          <w:b w:val="0"/>
          <w:highlight w:val="none"/>
        </w:rPr>
        <w:t>，从业人员</w:t>
      </w:r>
      <w:r>
        <w:rPr>
          <w:rFonts w:hint="eastAsia" w:hAnsi="宋体" w:cs="宋体"/>
          <w:b w:val="0"/>
          <w:highlight w:val="none"/>
          <w:u w:val="single"/>
        </w:rPr>
        <w:t xml:space="preserve">  </w:t>
      </w:r>
      <w:r>
        <w:rPr>
          <w:rFonts w:hint="eastAsia" w:hAnsi="宋体" w:cs="宋体"/>
          <w:b w:val="0"/>
          <w:highlight w:val="none"/>
        </w:rPr>
        <w:t>人，营业收入为</w:t>
      </w:r>
      <w:r>
        <w:rPr>
          <w:rFonts w:hint="eastAsia" w:hAnsi="宋体" w:cs="宋体"/>
          <w:b w:val="0"/>
          <w:highlight w:val="none"/>
          <w:u w:val="single"/>
        </w:rPr>
        <w:t xml:space="preserve">    </w:t>
      </w:r>
      <w:r>
        <w:rPr>
          <w:rFonts w:hint="eastAsia" w:hAnsi="宋体" w:cs="宋体"/>
          <w:b w:val="0"/>
          <w:highlight w:val="none"/>
        </w:rPr>
        <w:t>万元，资产总额为</w:t>
      </w:r>
      <w:r>
        <w:rPr>
          <w:rFonts w:hint="eastAsia" w:hAnsi="宋体" w:cs="宋体"/>
          <w:b w:val="0"/>
          <w:highlight w:val="none"/>
          <w:u w:val="single"/>
        </w:rPr>
        <w:t xml:space="preserve">    </w:t>
      </w:r>
      <w:r>
        <w:rPr>
          <w:rFonts w:hint="eastAsia" w:hAnsi="宋体" w:cs="宋体"/>
          <w:b w:val="0"/>
          <w:highlight w:val="none"/>
        </w:rPr>
        <w:t>万元，属于</w:t>
      </w:r>
      <w:r>
        <w:rPr>
          <w:rFonts w:hint="eastAsia" w:hAnsi="宋体" w:cs="宋体"/>
          <w:b w:val="0"/>
          <w:highlight w:val="none"/>
          <w:u w:val="single"/>
        </w:rPr>
        <w:t>（</w:t>
      </w:r>
      <w:r>
        <w:rPr>
          <w:rFonts w:hint="eastAsia" w:hAnsi="宋体" w:cs="宋体"/>
          <w:b w:val="0"/>
          <w:szCs w:val="24"/>
          <w:highlight w:val="none"/>
          <w:u w:val="single"/>
        </w:rPr>
        <w:t>□</w:t>
      </w:r>
      <w:r>
        <w:rPr>
          <w:rFonts w:hint="eastAsia" w:hAnsi="宋体" w:cs="宋体"/>
          <w:b w:val="0"/>
          <w:highlight w:val="none"/>
          <w:u w:val="single"/>
        </w:rPr>
        <w:t>中型企业、</w:t>
      </w:r>
      <w:r>
        <w:rPr>
          <w:rFonts w:hint="eastAsia" w:hAnsi="宋体" w:cs="宋体"/>
          <w:b w:val="0"/>
          <w:szCs w:val="24"/>
          <w:highlight w:val="none"/>
          <w:u w:val="single"/>
        </w:rPr>
        <w:t>□</w:t>
      </w:r>
      <w:r>
        <w:rPr>
          <w:rFonts w:hint="eastAsia" w:hAnsi="宋体" w:cs="宋体"/>
          <w:b w:val="0"/>
          <w:highlight w:val="none"/>
          <w:u w:val="single"/>
        </w:rPr>
        <w:t>小型企业、</w:t>
      </w:r>
      <w:r>
        <w:rPr>
          <w:rFonts w:hint="eastAsia" w:hAnsi="宋体" w:cs="宋体"/>
          <w:b w:val="0"/>
          <w:szCs w:val="24"/>
          <w:highlight w:val="none"/>
          <w:u w:val="single"/>
        </w:rPr>
        <w:t>□</w:t>
      </w:r>
      <w:r>
        <w:rPr>
          <w:rFonts w:hint="eastAsia" w:hAnsi="宋体" w:cs="宋体"/>
          <w:b w:val="0"/>
          <w:highlight w:val="none"/>
          <w:u w:val="single"/>
        </w:rPr>
        <w:t>微型企业）</w:t>
      </w:r>
      <w:r>
        <w:rPr>
          <w:rFonts w:hint="eastAsia" w:hAnsi="宋体" w:cs="宋体"/>
          <w:b w:val="0"/>
          <w:highlight w:val="none"/>
        </w:rPr>
        <w:t>；</w:t>
      </w:r>
    </w:p>
    <w:p w14:paraId="6CD0B9FB">
      <w:pPr>
        <w:autoSpaceDE w:val="0"/>
        <w:autoSpaceDN w:val="0"/>
        <w:adjustRightInd w:val="0"/>
        <w:snapToGrid w:val="0"/>
        <w:spacing w:line="360" w:lineRule="auto"/>
        <w:ind w:firstLine="420" w:firstLineChars="200"/>
        <w:contextualSpacing/>
        <w:jc w:val="left"/>
        <w:rPr>
          <w:rFonts w:hint="eastAsia" w:hAnsi="宋体" w:cs="宋体"/>
          <w:b w:val="0"/>
          <w:highlight w:val="none"/>
        </w:rPr>
      </w:pPr>
      <w:r>
        <w:rPr>
          <w:rFonts w:hint="eastAsia" w:hAnsi="宋体" w:cs="宋体"/>
          <w:b w:val="0"/>
          <w:highlight w:val="none"/>
        </w:rPr>
        <w:t xml:space="preserve">2. </w:t>
      </w:r>
      <w:r>
        <w:rPr>
          <w:rFonts w:hint="eastAsia" w:hAnsi="宋体" w:cs="宋体"/>
          <w:b w:val="0"/>
          <w:highlight w:val="none"/>
          <w:u w:val="single"/>
        </w:rPr>
        <w:t>（标的名称）</w:t>
      </w:r>
      <w:r>
        <w:rPr>
          <w:rFonts w:hint="eastAsia" w:hAnsi="宋体" w:cs="宋体"/>
          <w:b w:val="0"/>
          <w:highlight w:val="none"/>
        </w:rPr>
        <w:t>，属于</w:t>
      </w:r>
      <w:r>
        <w:rPr>
          <w:rFonts w:hint="eastAsia" w:hAnsi="宋体" w:cs="宋体"/>
          <w:b w:val="0"/>
          <w:highlight w:val="none"/>
          <w:u w:val="single"/>
        </w:rPr>
        <w:t>（招标文件中明确的所属行业）</w:t>
      </w:r>
      <w:r>
        <w:rPr>
          <w:rFonts w:hint="eastAsia" w:hAnsi="宋体" w:cs="宋体"/>
          <w:b w:val="0"/>
          <w:highlight w:val="none"/>
        </w:rPr>
        <w:t>；承建（承接）企业为</w:t>
      </w:r>
      <w:r>
        <w:rPr>
          <w:rFonts w:hint="eastAsia" w:hAnsi="宋体" w:cs="宋体"/>
          <w:b w:val="0"/>
          <w:highlight w:val="none"/>
          <w:u w:val="single"/>
        </w:rPr>
        <w:t>（企业名称）</w:t>
      </w:r>
      <w:r>
        <w:rPr>
          <w:rFonts w:hint="eastAsia" w:hAnsi="宋体" w:cs="宋体"/>
          <w:b w:val="0"/>
          <w:highlight w:val="none"/>
        </w:rPr>
        <w:t>，从业人员</w:t>
      </w:r>
      <w:r>
        <w:rPr>
          <w:rFonts w:hint="eastAsia" w:hAnsi="宋体" w:cs="宋体"/>
          <w:b w:val="0"/>
          <w:highlight w:val="none"/>
          <w:u w:val="single"/>
        </w:rPr>
        <w:t xml:space="preserve">  </w:t>
      </w:r>
      <w:r>
        <w:rPr>
          <w:rFonts w:hint="eastAsia" w:hAnsi="宋体" w:cs="宋体"/>
          <w:b w:val="0"/>
          <w:highlight w:val="none"/>
        </w:rPr>
        <w:t>人，营业收入为</w:t>
      </w:r>
      <w:r>
        <w:rPr>
          <w:rFonts w:hint="eastAsia" w:hAnsi="宋体" w:cs="宋体"/>
          <w:b w:val="0"/>
          <w:highlight w:val="none"/>
          <w:u w:val="single"/>
        </w:rPr>
        <w:t xml:space="preserve">     </w:t>
      </w:r>
      <w:r>
        <w:rPr>
          <w:rFonts w:hint="eastAsia" w:hAnsi="宋体" w:cs="宋体"/>
          <w:b w:val="0"/>
          <w:highlight w:val="none"/>
        </w:rPr>
        <w:t>万元，资产总额为</w:t>
      </w:r>
      <w:r>
        <w:rPr>
          <w:rFonts w:hint="eastAsia" w:hAnsi="宋体" w:cs="宋体"/>
          <w:b w:val="0"/>
          <w:highlight w:val="none"/>
          <w:u w:val="single"/>
        </w:rPr>
        <w:t xml:space="preserve">   </w:t>
      </w:r>
      <w:r>
        <w:rPr>
          <w:rFonts w:hint="eastAsia" w:hAnsi="宋体" w:cs="宋体"/>
          <w:b w:val="0"/>
          <w:highlight w:val="none"/>
        </w:rPr>
        <w:t>万元，属于</w:t>
      </w:r>
      <w:r>
        <w:rPr>
          <w:rFonts w:hint="eastAsia" w:hAnsi="宋体" w:cs="宋体"/>
          <w:b w:val="0"/>
          <w:highlight w:val="none"/>
          <w:u w:val="single"/>
        </w:rPr>
        <w:t>（</w:t>
      </w:r>
      <w:r>
        <w:rPr>
          <w:rFonts w:hint="eastAsia" w:hAnsi="宋体" w:cs="宋体"/>
          <w:b w:val="0"/>
          <w:szCs w:val="24"/>
          <w:highlight w:val="none"/>
          <w:u w:val="single"/>
        </w:rPr>
        <w:t>□</w:t>
      </w:r>
      <w:r>
        <w:rPr>
          <w:rFonts w:hint="eastAsia" w:hAnsi="宋体" w:cs="宋体"/>
          <w:b w:val="0"/>
          <w:highlight w:val="none"/>
          <w:u w:val="single"/>
        </w:rPr>
        <w:t>中型企业、</w:t>
      </w:r>
      <w:r>
        <w:rPr>
          <w:rFonts w:hint="eastAsia" w:hAnsi="宋体" w:cs="宋体"/>
          <w:b w:val="0"/>
          <w:szCs w:val="24"/>
          <w:highlight w:val="none"/>
          <w:u w:val="single"/>
        </w:rPr>
        <w:t>□</w:t>
      </w:r>
      <w:r>
        <w:rPr>
          <w:rFonts w:hint="eastAsia" w:hAnsi="宋体" w:cs="宋体"/>
          <w:b w:val="0"/>
          <w:highlight w:val="none"/>
          <w:u w:val="single"/>
        </w:rPr>
        <w:t>小型企业、</w:t>
      </w:r>
      <w:r>
        <w:rPr>
          <w:rFonts w:hint="eastAsia" w:hAnsi="宋体" w:cs="宋体"/>
          <w:b w:val="0"/>
          <w:szCs w:val="24"/>
          <w:highlight w:val="none"/>
          <w:u w:val="single"/>
        </w:rPr>
        <w:t>□</w:t>
      </w:r>
      <w:r>
        <w:rPr>
          <w:rFonts w:hint="eastAsia" w:hAnsi="宋体" w:cs="宋体"/>
          <w:b w:val="0"/>
          <w:highlight w:val="none"/>
          <w:u w:val="single"/>
        </w:rPr>
        <w:t>微型企业）</w:t>
      </w:r>
      <w:r>
        <w:rPr>
          <w:rFonts w:hint="eastAsia" w:hAnsi="宋体" w:cs="宋体"/>
          <w:b w:val="0"/>
          <w:highlight w:val="none"/>
        </w:rPr>
        <w:t>；</w:t>
      </w:r>
    </w:p>
    <w:p w14:paraId="06925498">
      <w:pPr>
        <w:autoSpaceDE w:val="0"/>
        <w:autoSpaceDN w:val="0"/>
        <w:adjustRightInd w:val="0"/>
        <w:snapToGrid w:val="0"/>
        <w:spacing w:line="360" w:lineRule="auto"/>
        <w:ind w:firstLine="420" w:firstLineChars="200"/>
        <w:contextualSpacing/>
        <w:jc w:val="left"/>
        <w:rPr>
          <w:rFonts w:hint="eastAsia" w:hAnsi="宋体" w:cs="宋体"/>
          <w:b w:val="0"/>
          <w:highlight w:val="none"/>
        </w:rPr>
      </w:pPr>
      <w:r>
        <w:rPr>
          <w:rFonts w:hint="eastAsia" w:hAnsi="宋体" w:cs="宋体"/>
          <w:b w:val="0"/>
          <w:highlight w:val="none"/>
        </w:rPr>
        <w:t>……</w:t>
      </w:r>
    </w:p>
    <w:p w14:paraId="126A7B50">
      <w:pPr>
        <w:autoSpaceDE w:val="0"/>
        <w:autoSpaceDN w:val="0"/>
        <w:adjustRightInd w:val="0"/>
        <w:snapToGrid w:val="0"/>
        <w:spacing w:line="360" w:lineRule="auto"/>
        <w:ind w:firstLine="420" w:firstLineChars="200"/>
        <w:contextualSpacing/>
        <w:jc w:val="left"/>
        <w:rPr>
          <w:rFonts w:hint="eastAsia" w:hAnsi="宋体" w:cs="宋体"/>
          <w:b w:val="0"/>
          <w:highlight w:val="none"/>
        </w:rPr>
      </w:pPr>
      <w:r>
        <w:rPr>
          <w:rFonts w:hint="eastAsia" w:hAnsi="宋体" w:cs="宋体"/>
          <w:b w:val="0"/>
          <w:highlight w:val="none"/>
        </w:rPr>
        <w:t>以上企业，不属于大企业的分支机构，不存在控股股东为大企业的情形，也不存在与大企业的负责人为同一人的情形。</w:t>
      </w:r>
    </w:p>
    <w:p w14:paraId="377B5EEC">
      <w:pPr>
        <w:autoSpaceDE w:val="0"/>
        <w:autoSpaceDN w:val="0"/>
        <w:adjustRightInd w:val="0"/>
        <w:snapToGrid w:val="0"/>
        <w:spacing w:line="360" w:lineRule="auto"/>
        <w:ind w:firstLine="420" w:firstLineChars="200"/>
        <w:contextualSpacing/>
        <w:jc w:val="left"/>
        <w:rPr>
          <w:rFonts w:hint="eastAsia" w:hAnsi="宋体" w:cs="宋体"/>
          <w:b w:val="0"/>
          <w:highlight w:val="none"/>
        </w:rPr>
      </w:pPr>
      <w:r>
        <w:rPr>
          <w:rFonts w:hint="eastAsia" w:hAnsi="宋体" w:cs="宋体"/>
          <w:b w:val="0"/>
          <w:highlight w:val="none"/>
        </w:rPr>
        <w:t>本企业对上述声明内容的真实性负责。如有虚假，将依法承担相应责任。</w:t>
      </w:r>
    </w:p>
    <w:p w14:paraId="589D5520">
      <w:pPr>
        <w:autoSpaceDE w:val="0"/>
        <w:autoSpaceDN w:val="0"/>
        <w:adjustRightInd w:val="0"/>
        <w:snapToGrid w:val="0"/>
        <w:spacing w:line="360" w:lineRule="auto"/>
        <w:ind w:firstLine="420" w:firstLineChars="200"/>
        <w:contextualSpacing/>
        <w:jc w:val="left"/>
        <w:rPr>
          <w:rFonts w:hint="eastAsia" w:hAnsi="宋体" w:cs="宋体"/>
          <w:b w:val="0"/>
          <w:highlight w:val="none"/>
        </w:rPr>
      </w:pPr>
    </w:p>
    <w:p w14:paraId="5B3B0FBF">
      <w:pPr>
        <w:autoSpaceDE w:val="0"/>
        <w:autoSpaceDN w:val="0"/>
        <w:adjustRightInd w:val="0"/>
        <w:snapToGrid w:val="0"/>
        <w:spacing w:line="360" w:lineRule="auto"/>
        <w:ind w:firstLine="420" w:firstLineChars="200"/>
        <w:contextualSpacing/>
        <w:jc w:val="left"/>
        <w:rPr>
          <w:rFonts w:hint="eastAsia" w:hAnsi="宋体" w:cs="宋体"/>
          <w:b w:val="0"/>
          <w:highlight w:val="none"/>
        </w:rPr>
      </w:pPr>
    </w:p>
    <w:p w14:paraId="0B157CEB">
      <w:pPr>
        <w:pStyle w:val="14"/>
        <w:tabs>
          <w:tab w:val="left" w:pos="7098"/>
        </w:tabs>
        <w:spacing w:line="360" w:lineRule="auto"/>
        <w:ind w:firstLine="6000" w:firstLineChars="250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投标人名称（盖章）：</w:t>
      </w:r>
    </w:p>
    <w:p w14:paraId="7C27C6E4">
      <w:pPr>
        <w:pStyle w:val="14"/>
        <w:tabs>
          <w:tab w:val="left" w:pos="7098"/>
        </w:tabs>
        <w:spacing w:line="360" w:lineRule="auto"/>
        <w:ind w:firstLine="6000" w:firstLineChars="250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日 期：</w:t>
      </w:r>
    </w:p>
    <w:p w14:paraId="32BF8229">
      <w:pPr>
        <w:autoSpaceDE w:val="0"/>
        <w:autoSpaceDN w:val="0"/>
        <w:adjustRightInd w:val="0"/>
        <w:snapToGrid w:val="0"/>
        <w:spacing w:line="360" w:lineRule="auto"/>
        <w:contextualSpacing/>
        <w:jc w:val="left"/>
        <w:rPr>
          <w:rFonts w:hint="eastAsia" w:hAnsi="宋体" w:cs="宋体"/>
          <w:b w:val="0"/>
          <w:highlight w:val="none"/>
        </w:rPr>
      </w:pPr>
    </w:p>
    <w:p w14:paraId="74074EAD">
      <w:pPr>
        <w:autoSpaceDE w:val="0"/>
        <w:autoSpaceDN w:val="0"/>
        <w:adjustRightInd w:val="0"/>
        <w:snapToGrid w:val="0"/>
        <w:spacing w:line="360" w:lineRule="auto"/>
        <w:ind w:firstLine="420" w:firstLineChars="200"/>
        <w:contextualSpacing/>
        <w:jc w:val="left"/>
        <w:rPr>
          <w:rFonts w:hint="eastAsia" w:hAnsi="宋体" w:cs="宋体"/>
          <w:b w:val="0"/>
          <w:highlight w:val="none"/>
        </w:rPr>
      </w:pPr>
    </w:p>
    <w:p w14:paraId="07C65177">
      <w:pPr>
        <w:autoSpaceDE w:val="0"/>
        <w:autoSpaceDN w:val="0"/>
        <w:adjustRightInd w:val="0"/>
        <w:snapToGrid w:val="0"/>
        <w:spacing w:line="360" w:lineRule="auto"/>
        <w:ind w:firstLine="420" w:firstLineChars="200"/>
        <w:contextualSpacing/>
        <w:jc w:val="left"/>
        <w:rPr>
          <w:rFonts w:hint="eastAsia" w:hAnsi="宋体" w:cs="宋体"/>
          <w:b w:val="0"/>
          <w:highlight w:val="none"/>
        </w:rPr>
      </w:pPr>
    </w:p>
    <w:p w14:paraId="2AEB6FAF">
      <w:pPr>
        <w:autoSpaceDE w:val="0"/>
        <w:autoSpaceDN w:val="0"/>
        <w:adjustRightInd w:val="0"/>
        <w:snapToGrid w:val="0"/>
        <w:spacing w:line="360" w:lineRule="auto"/>
        <w:ind w:firstLine="420" w:firstLineChars="200"/>
        <w:contextualSpacing/>
        <w:jc w:val="left"/>
        <w:rPr>
          <w:rFonts w:hint="eastAsia" w:hAnsi="宋体" w:cs="宋体"/>
          <w:b w:val="0"/>
          <w:kern w:val="2"/>
          <w:position w:val="0"/>
          <w:szCs w:val="24"/>
          <w:highlight w:val="none"/>
        </w:rPr>
      </w:pPr>
      <w:r>
        <w:rPr>
          <w:rFonts w:hint="eastAsia" w:hAnsi="宋体" w:cs="宋体"/>
          <w:b w:val="0"/>
          <w:highlight w:val="none"/>
        </w:rPr>
        <w:t>注：从业人员、营业收入、资产总额填报上一年度数据，无上一年度数据的新成立企业可不填报。</w:t>
      </w:r>
    </w:p>
    <w:p w14:paraId="0FE3D9E1">
      <w:pPr>
        <w:spacing w:line="360" w:lineRule="auto"/>
        <w:ind w:firstLine="4620"/>
        <w:jc w:val="left"/>
        <w:rPr>
          <w:rFonts w:hint="eastAsia" w:ascii="宋体" w:hAnsi="宋体" w:cs="宋体"/>
          <w:highlight w:val="none"/>
        </w:rPr>
      </w:pPr>
    </w:p>
    <w:p w14:paraId="5944DF3D">
      <w:pPr>
        <w:widowControl/>
        <w:jc w:val="left"/>
        <w:rPr>
          <w:rFonts w:hint="eastAsia" w:ascii="宋体" w:hAnsi="宋体" w:cs="宋体"/>
          <w:b/>
          <w:szCs w:val="21"/>
          <w:highlight w:val="none"/>
        </w:rPr>
      </w:pPr>
      <w:bookmarkStart w:id="157" w:name="_Toc109304977"/>
      <w:r>
        <w:rPr>
          <w:rFonts w:hint="eastAsia" w:ascii="宋体" w:hAnsi="宋体" w:cs="宋体"/>
          <w:szCs w:val="21"/>
          <w:highlight w:val="none"/>
        </w:rPr>
        <w:br w:type="page"/>
      </w:r>
    </w:p>
    <w:p w14:paraId="423512AF">
      <w:pPr>
        <w:pStyle w:val="221"/>
        <w:widowControl/>
        <w:spacing w:before="300" w:after="300" w:line="360" w:lineRule="auto"/>
        <w:jc w:val="center"/>
        <w:rPr>
          <w:rFonts w:hint="eastAsia" w:ascii="宋体" w:hAnsi="宋体" w:eastAsia="宋体" w:cs="宋体"/>
          <w:sz w:val="21"/>
          <w:szCs w:val="21"/>
          <w:highlight w:val="none"/>
        </w:rPr>
      </w:pPr>
      <w:bookmarkStart w:id="158" w:name="_Toc199794512"/>
      <w:r>
        <w:rPr>
          <w:rFonts w:hint="eastAsia" w:ascii="宋体" w:hAnsi="宋体" w:eastAsia="宋体" w:cs="宋体"/>
          <w:sz w:val="21"/>
          <w:szCs w:val="21"/>
          <w:highlight w:val="none"/>
        </w:rPr>
        <w:t>中小微企业划型标准</w:t>
      </w:r>
      <w:bookmarkEnd w:id="157"/>
      <w:bookmarkEnd w:id="158"/>
      <w:r>
        <w:rPr>
          <w:rFonts w:hint="eastAsia" w:ascii="宋体" w:hAnsi="宋体" w:eastAsia="宋体" w:cs="宋体"/>
          <w:sz w:val="21"/>
          <w:szCs w:val="21"/>
          <w:highlight w:val="none"/>
        </w:rPr>
        <w:t> </w:t>
      </w:r>
    </w:p>
    <w:p w14:paraId="091A9028">
      <w:pPr>
        <w:pStyle w:val="285"/>
        <w:spacing w:before="300" w:after="452" w:line="360" w:lineRule="auto"/>
        <w:ind w:firstLine="420"/>
        <w:rPr>
          <w:rFonts w:hint="eastAsia" w:hAnsi="宋体" w:cs="宋体"/>
          <w:sz w:val="21"/>
          <w:szCs w:val="21"/>
          <w:highlight w:val="none"/>
        </w:rPr>
      </w:pPr>
      <w:r>
        <w:rPr>
          <w:rStyle w:val="293"/>
          <w:rFonts w:hint="eastAsia" w:hAnsi="宋体" w:cs="宋体"/>
          <w:sz w:val="21"/>
          <w:szCs w:val="21"/>
          <w:highlight w:val="none"/>
        </w:rPr>
        <w:t>中小微企业划型标准如下：</w:t>
      </w:r>
    </w:p>
    <w:tbl>
      <w:tblPr>
        <w:tblStyle w:val="3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622"/>
        <w:gridCol w:w="1929"/>
        <w:gridCol w:w="581"/>
        <w:gridCol w:w="2311"/>
        <w:gridCol w:w="1897"/>
        <w:gridCol w:w="1681"/>
      </w:tblGrid>
      <w:tr w14:paraId="18DC49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610" w:type="dxa"/>
            <w:tcMar>
              <w:top w:w="0" w:type="dxa"/>
              <w:left w:w="105" w:type="dxa"/>
              <w:bottom w:w="0" w:type="dxa"/>
              <w:right w:w="105" w:type="dxa"/>
            </w:tcMar>
            <w:vAlign w:val="center"/>
          </w:tcPr>
          <w:p w14:paraId="5B18F41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行业名称</w:t>
            </w:r>
          </w:p>
        </w:tc>
        <w:tc>
          <w:tcPr>
            <w:tcW w:w="1941" w:type="dxa"/>
            <w:tcMar>
              <w:top w:w="0" w:type="dxa"/>
              <w:left w:w="105" w:type="dxa"/>
              <w:bottom w:w="0" w:type="dxa"/>
              <w:right w:w="105" w:type="dxa"/>
            </w:tcMar>
            <w:vAlign w:val="center"/>
          </w:tcPr>
          <w:p w14:paraId="6758307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指标名称</w:t>
            </w:r>
          </w:p>
        </w:tc>
        <w:tc>
          <w:tcPr>
            <w:tcW w:w="559" w:type="dxa"/>
            <w:tcMar>
              <w:top w:w="0" w:type="dxa"/>
              <w:left w:w="105" w:type="dxa"/>
              <w:bottom w:w="0" w:type="dxa"/>
              <w:right w:w="105" w:type="dxa"/>
            </w:tcMar>
            <w:vAlign w:val="center"/>
          </w:tcPr>
          <w:p w14:paraId="3D47AAC8">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计量单位</w:t>
            </w:r>
          </w:p>
        </w:tc>
        <w:tc>
          <w:tcPr>
            <w:tcW w:w="2332" w:type="dxa"/>
            <w:tcMar>
              <w:top w:w="0" w:type="dxa"/>
              <w:left w:w="105" w:type="dxa"/>
              <w:bottom w:w="0" w:type="dxa"/>
              <w:right w:w="105" w:type="dxa"/>
            </w:tcMar>
            <w:vAlign w:val="center"/>
          </w:tcPr>
          <w:p w14:paraId="016F8FE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中型</w:t>
            </w:r>
          </w:p>
        </w:tc>
        <w:tc>
          <w:tcPr>
            <w:tcW w:w="1908" w:type="dxa"/>
            <w:tcMar>
              <w:top w:w="0" w:type="dxa"/>
              <w:left w:w="105" w:type="dxa"/>
              <w:bottom w:w="0" w:type="dxa"/>
              <w:right w:w="105" w:type="dxa"/>
            </w:tcMar>
            <w:vAlign w:val="center"/>
          </w:tcPr>
          <w:p w14:paraId="2FF145B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小型</w:t>
            </w:r>
          </w:p>
        </w:tc>
        <w:tc>
          <w:tcPr>
            <w:tcW w:w="1671" w:type="dxa"/>
            <w:tcMar>
              <w:top w:w="0" w:type="dxa"/>
              <w:left w:w="105" w:type="dxa"/>
              <w:bottom w:w="0" w:type="dxa"/>
              <w:right w:w="105" w:type="dxa"/>
            </w:tcMar>
            <w:vAlign w:val="center"/>
          </w:tcPr>
          <w:p w14:paraId="560BAC4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微型</w:t>
            </w:r>
          </w:p>
        </w:tc>
      </w:tr>
      <w:tr w14:paraId="683E84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tcMar>
              <w:top w:w="0" w:type="dxa"/>
              <w:left w:w="105" w:type="dxa"/>
              <w:bottom w:w="0" w:type="dxa"/>
              <w:right w:w="105" w:type="dxa"/>
            </w:tcMar>
            <w:vAlign w:val="center"/>
          </w:tcPr>
          <w:p w14:paraId="55F18E0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农、林、牧、渔</w:t>
            </w:r>
          </w:p>
        </w:tc>
        <w:tc>
          <w:tcPr>
            <w:tcW w:w="1941" w:type="dxa"/>
            <w:tcMar>
              <w:top w:w="0" w:type="dxa"/>
              <w:left w:w="105" w:type="dxa"/>
              <w:bottom w:w="0" w:type="dxa"/>
              <w:right w:w="105" w:type="dxa"/>
            </w:tcMar>
            <w:vAlign w:val="center"/>
          </w:tcPr>
          <w:p w14:paraId="2EE3AF7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6FCE3B4B">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55C5A3C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500≤Y＜20000</w:t>
            </w:r>
          </w:p>
        </w:tc>
        <w:tc>
          <w:tcPr>
            <w:tcW w:w="1908" w:type="dxa"/>
            <w:tcMar>
              <w:top w:w="0" w:type="dxa"/>
              <w:left w:w="105" w:type="dxa"/>
              <w:bottom w:w="0" w:type="dxa"/>
              <w:right w:w="105" w:type="dxa"/>
            </w:tcMar>
            <w:vAlign w:val="center"/>
          </w:tcPr>
          <w:p w14:paraId="1A28188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50≤Y＜500</w:t>
            </w:r>
          </w:p>
        </w:tc>
        <w:tc>
          <w:tcPr>
            <w:tcW w:w="1671" w:type="dxa"/>
            <w:tcMar>
              <w:top w:w="0" w:type="dxa"/>
              <w:left w:w="105" w:type="dxa"/>
              <w:bottom w:w="0" w:type="dxa"/>
              <w:right w:w="105" w:type="dxa"/>
            </w:tcMar>
            <w:vAlign w:val="center"/>
          </w:tcPr>
          <w:p w14:paraId="0F41BEB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Y＜50</w:t>
            </w:r>
          </w:p>
        </w:tc>
      </w:tr>
      <w:tr w14:paraId="2747A6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416316F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工业</w:t>
            </w:r>
          </w:p>
        </w:tc>
        <w:tc>
          <w:tcPr>
            <w:tcW w:w="1941" w:type="dxa"/>
            <w:tcMar>
              <w:top w:w="0" w:type="dxa"/>
              <w:left w:w="105" w:type="dxa"/>
              <w:bottom w:w="0" w:type="dxa"/>
              <w:right w:w="105" w:type="dxa"/>
            </w:tcMar>
            <w:vAlign w:val="center"/>
          </w:tcPr>
          <w:p w14:paraId="117595B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66FC8077">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7FD934E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300≤X＜1000</w:t>
            </w:r>
          </w:p>
        </w:tc>
        <w:tc>
          <w:tcPr>
            <w:tcW w:w="1908" w:type="dxa"/>
            <w:tcMar>
              <w:top w:w="0" w:type="dxa"/>
              <w:left w:w="105" w:type="dxa"/>
              <w:bottom w:w="0" w:type="dxa"/>
              <w:right w:w="105" w:type="dxa"/>
            </w:tcMar>
            <w:vAlign w:val="center"/>
          </w:tcPr>
          <w:p w14:paraId="4ACFCD2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20≤X＜300</w:t>
            </w:r>
          </w:p>
        </w:tc>
        <w:tc>
          <w:tcPr>
            <w:tcW w:w="1671" w:type="dxa"/>
            <w:tcMar>
              <w:top w:w="0" w:type="dxa"/>
              <w:left w:w="105" w:type="dxa"/>
              <w:bottom w:w="0" w:type="dxa"/>
              <w:right w:w="105" w:type="dxa"/>
            </w:tcMar>
            <w:vAlign w:val="center"/>
          </w:tcPr>
          <w:p w14:paraId="20FD0F7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X＜20</w:t>
            </w:r>
          </w:p>
        </w:tc>
      </w:tr>
      <w:tr w14:paraId="198565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02D5992E">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5762235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6AF3CD0D">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260E5EE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2000≤Y＜40000</w:t>
            </w:r>
          </w:p>
        </w:tc>
        <w:tc>
          <w:tcPr>
            <w:tcW w:w="1908" w:type="dxa"/>
            <w:tcMar>
              <w:top w:w="0" w:type="dxa"/>
              <w:left w:w="105" w:type="dxa"/>
              <w:bottom w:w="0" w:type="dxa"/>
              <w:right w:w="105" w:type="dxa"/>
            </w:tcMar>
            <w:vAlign w:val="center"/>
          </w:tcPr>
          <w:p w14:paraId="105B0B5A">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300≤Y＜2000</w:t>
            </w:r>
          </w:p>
        </w:tc>
        <w:tc>
          <w:tcPr>
            <w:tcW w:w="1671" w:type="dxa"/>
            <w:tcMar>
              <w:top w:w="0" w:type="dxa"/>
              <w:left w:w="105" w:type="dxa"/>
              <w:bottom w:w="0" w:type="dxa"/>
              <w:right w:w="105" w:type="dxa"/>
            </w:tcMar>
            <w:vAlign w:val="center"/>
          </w:tcPr>
          <w:p w14:paraId="0FCF29D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Y＜300</w:t>
            </w:r>
          </w:p>
        </w:tc>
      </w:tr>
      <w:tr w14:paraId="27ACD3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2DA0B42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建筑业</w:t>
            </w:r>
          </w:p>
        </w:tc>
        <w:tc>
          <w:tcPr>
            <w:tcW w:w="1941" w:type="dxa"/>
            <w:tcMar>
              <w:top w:w="0" w:type="dxa"/>
              <w:left w:w="105" w:type="dxa"/>
              <w:bottom w:w="0" w:type="dxa"/>
              <w:right w:w="105" w:type="dxa"/>
            </w:tcMar>
            <w:vAlign w:val="center"/>
          </w:tcPr>
          <w:p w14:paraId="092D491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2958CA6C">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4E5A626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6000≤Y＜80000</w:t>
            </w:r>
          </w:p>
        </w:tc>
        <w:tc>
          <w:tcPr>
            <w:tcW w:w="1908" w:type="dxa"/>
            <w:tcMar>
              <w:top w:w="0" w:type="dxa"/>
              <w:left w:w="105" w:type="dxa"/>
              <w:bottom w:w="0" w:type="dxa"/>
              <w:right w:w="105" w:type="dxa"/>
            </w:tcMar>
            <w:vAlign w:val="center"/>
          </w:tcPr>
          <w:p w14:paraId="7C7D189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300≤Y＜6000</w:t>
            </w:r>
          </w:p>
        </w:tc>
        <w:tc>
          <w:tcPr>
            <w:tcW w:w="1671" w:type="dxa"/>
            <w:tcMar>
              <w:top w:w="0" w:type="dxa"/>
              <w:left w:w="105" w:type="dxa"/>
              <w:bottom w:w="0" w:type="dxa"/>
              <w:right w:w="105" w:type="dxa"/>
            </w:tcMar>
            <w:vAlign w:val="center"/>
          </w:tcPr>
          <w:p w14:paraId="6624AA7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Y＜300</w:t>
            </w:r>
          </w:p>
        </w:tc>
      </w:tr>
      <w:tr w14:paraId="036F96D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C3BA747">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078D225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资产总额（Z）</w:t>
            </w:r>
          </w:p>
        </w:tc>
        <w:tc>
          <w:tcPr>
            <w:tcW w:w="559" w:type="dxa"/>
            <w:tcMar>
              <w:top w:w="0" w:type="dxa"/>
              <w:left w:w="105" w:type="dxa"/>
              <w:bottom w:w="0" w:type="dxa"/>
              <w:right w:w="105" w:type="dxa"/>
            </w:tcMar>
            <w:vAlign w:val="center"/>
          </w:tcPr>
          <w:p w14:paraId="4C6B2B63">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466C4F4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5000≤Z＜80000</w:t>
            </w:r>
          </w:p>
        </w:tc>
        <w:tc>
          <w:tcPr>
            <w:tcW w:w="1908" w:type="dxa"/>
            <w:tcMar>
              <w:top w:w="0" w:type="dxa"/>
              <w:left w:w="105" w:type="dxa"/>
              <w:bottom w:w="0" w:type="dxa"/>
              <w:right w:w="105" w:type="dxa"/>
            </w:tcMar>
            <w:vAlign w:val="center"/>
          </w:tcPr>
          <w:p w14:paraId="442945B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300≤Z＜5000</w:t>
            </w:r>
          </w:p>
        </w:tc>
        <w:tc>
          <w:tcPr>
            <w:tcW w:w="1671" w:type="dxa"/>
            <w:tcMar>
              <w:top w:w="0" w:type="dxa"/>
              <w:left w:w="105" w:type="dxa"/>
              <w:bottom w:w="0" w:type="dxa"/>
              <w:right w:w="105" w:type="dxa"/>
            </w:tcMar>
            <w:vAlign w:val="center"/>
          </w:tcPr>
          <w:p w14:paraId="7E64FDF5">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Z＜300</w:t>
            </w:r>
          </w:p>
        </w:tc>
      </w:tr>
      <w:tr w14:paraId="08CC6C6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AFA933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批发业</w:t>
            </w:r>
          </w:p>
        </w:tc>
        <w:tc>
          <w:tcPr>
            <w:tcW w:w="1941" w:type="dxa"/>
            <w:tcMar>
              <w:top w:w="0" w:type="dxa"/>
              <w:left w:w="105" w:type="dxa"/>
              <w:bottom w:w="0" w:type="dxa"/>
              <w:right w:w="105" w:type="dxa"/>
            </w:tcMar>
            <w:vAlign w:val="center"/>
          </w:tcPr>
          <w:p w14:paraId="29EF82E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647D6F38">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3B20A3F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20≤X＜200</w:t>
            </w:r>
          </w:p>
        </w:tc>
        <w:tc>
          <w:tcPr>
            <w:tcW w:w="1908" w:type="dxa"/>
            <w:tcMar>
              <w:top w:w="0" w:type="dxa"/>
              <w:left w:w="105" w:type="dxa"/>
              <w:bottom w:w="0" w:type="dxa"/>
              <w:right w:w="105" w:type="dxa"/>
            </w:tcMar>
            <w:vAlign w:val="center"/>
          </w:tcPr>
          <w:p w14:paraId="6E400948">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5≤X＜20</w:t>
            </w:r>
          </w:p>
        </w:tc>
        <w:tc>
          <w:tcPr>
            <w:tcW w:w="1671" w:type="dxa"/>
            <w:tcMar>
              <w:top w:w="0" w:type="dxa"/>
              <w:left w:w="105" w:type="dxa"/>
              <w:bottom w:w="0" w:type="dxa"/>
              <w:right w:w="105" w:type="dxa"/>
            </w:tcMar>
            <w:vAlign w:val="center"/>
          </w:tcPr>
          <w:p w14:paraId="29B1105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X＜5</w:t>
            </w:r>
          </w:p>
        </w:tc>
      </w:tr>
      <w:tr w14:paraId="3158026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567E8B0">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1E567B0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76BACC9A">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774822F5">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5000≤Y＜40000</w:t>
            </w:r>
          </w:p>
        </w:tc>
        <w:tc>
          <w:tcPr>
            <w:tcW w:w="1908" w:type="dxa"/>
            <w:tcMar>
              <w:top w:w="0" w:type="dxa"/>
              <w:left w:w="105" w:type="dxa"/>
              <w:bottom w:w="0" w:type="dxa"/>
              <w:right w:w="105" w:type="dxa"/>
            </w:tcMar>
            <w:vAlign w:val="center"/>
          </w:tcPr>
          <w:p w14:paraId="25720A5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1000≤Y＜5000</w:t>
            </w:r>
          </w:p>
        </w:tc>
        <w:tc>
          <w:tcPr>
            <w:tcW w:w="1671" w:type="dxa"/>
            <w:tcMar>
              <w:top w:w="0" w:type="dxa"/>
              <w:left w:w="105" w:type="dxa"/>
              <w:bottom w:w="0" w:type="dxa"/>
              <w:right w:w="105" w:type="dxa"/>
            </w:tcMar>
            <w:vAlign w:val="center"/>
          </w:tcPr>
          <w:p w14:paraId="23027BE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Y＜1000</w:t>
            </w:r>
          </w:p>
        </w:tc>
      </w:tr>
      <w:tr w14:paraId="4A0157B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186190E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零售业</w:t>
            </w:r>
          </w:p>
        </w:tc>
        <w:tc>
          <w:tcPr>
            <w:tcW w:w="1941" w:type="dxa"/>
            <w:tcMar>
              <w:top w:w="0" w:type="dxa"/>
              <w:left w:w="105" w:type="dxa"/>
              <w:bottom w:w="0" w:type="dxa"/>
              <w:right w:w="105" w:type="dxa"/>
            </w:tcMar>
            <w:vAlign w:val="center"/>
          </w:tcPr>
          <w:p w14:paraId="71FF9838">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757F9B0B">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3B6BFB3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50≤X＜300</w:t>
            </w:r>
          </w:p>
        </w:tc>
        <w:tc>
          <w:tcPr>
            <w:tcW w:w="1908" w:type="dxa"/>
            <w:tcMar>
              <w:top w:w="0" w:type="dxa"/>
              <w:left w:w="105" w:type="dxa"/>
              <w:bottom w:w="0" w:type="dxa"/>
              <w:right w:w="105" w:type="dxa"/>
            </w:tcMar>
            <w:vAlign w:val="center"/>
          </w:tcPr>
          <w:p w14:paraId="38906CE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10≤X＜50</w:t>
            </w:r>
          </w:p>
        </w:tc>
        <w:tc>
          <w:tcPr>
            <w:tcW w:w="1671" w:type="dxa"/>
            <w:tcMar>
              <w:top w:w="0" w:type="dxa"/>
              <w:left w:w="105" w:type="dxa"/>
              <w:bottom w:w="0" w:type="dxa"/>
              <w:right w:w="105" w:type="dxa"/>
            </w:tcMar>
            <w:vAlign w:val="center"/>
          </w:tcPr>
          <w:p w14:paraId="17AFB00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w:t>
            </w:r>
          </w:p>
        </w:tc>
      </w:tr>
      <w:tr w14:paraId="13204C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308EA00F">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6A9F291A">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76F8B97C">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3EF0D198">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500≤Y＜20000</w:t>
            </w:r>
          </w:p>
        </w:tc>
        <w:tc>
          <w:tcPr>
            <w:tcW w:w="1908" w:type="dxa"/>
            <w:tcMar>
              <w:top w:w="0" w:type="dxa"/>
              <w:left w:w="105" w:type="dxa"/>
              <w:bottom w:w="0" w:type="dxa"/>
              <w:right w:w="105" w:type="dxa"/>
            </w:tcMar>
            <w:vAlign w:val="center"/>
          </w:tcPr>
          <w:p w14:paraId="37A57E5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100≤Y＜500</w:t>
            </w:r>
          </w:p>
        </w:tc>
        <w:tc>
          <w:tcPr>
            <w:tcW w:w="1671" w:type="dxa"/>
            <w:tcMar>
              <w:top w:w="0" w:type="dxa"/>
              <w:left w:w="105" w:type="dxa"/>
              <w:bottom w:w="0" w:type="dxa"/>
              <w:right w:w="105" w:type="dxa"/>
            </w:tcMar>
            <w:vAlign w:val="center"/>
          </w:tcPr>
          <w:p w14:paraId="62EC024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w:t>
            </w:r>
          </w:p>
        </w:tc>
      </w:tr>
      <w:tr w14:paraId="272B48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5927EF5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交通运输业</w:t>
            </w:r>
          </w:p>
        </w:tc>
        <w:tc>
          <w:tcPr>
            <w:tcW w:w="1941" w:type="dxa"/>
            <w:tcMar>
              <w:top w:w="0" w:type="dxa"/>
              <w:left w:w="105" w:type="dxa"/>
              <w:bottom w:w="0" w:type="dxa"/>
              <w:right w:w="105" w:type="dxa"/>
            </w:tcMar>
            <w:vAlign w:val="center"/>
          </w:tcPr>
          <w:p w14:paraId="6C14A67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6F429A89">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692F774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300≤X＜1000</w:t>
            </w:r>
          </w:p>
        </w:tc>
        <w:tc>
          <w:tcPr>
            <w:tcW w:w="1908" w:type="dxa"/>
            <w:tcMar>
              <w:top w:w="0" w:type="dxa"/>
              <w:left w:w="105" w:type="dxa"/>
              <w:bottom w:w="0" w:type="dxa"/>
              <w:right w:w="105" w:type="dxa"/>
            </w:tcMar>
            <w:vAlign w:val="center"/>
          </w:tcPr>
          <w:p w14:paraId="5CFF9BD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20≤X＜300</w:t>
            </w:r>
          </w:p>
        </w:tc>
        <w:tc>
          <w:tcPr>
            <w:tcW w:w="1671" w:type="dxa"/>
            <w:tcMar>
              <w:top w:w="0" w:type="dxa"/>
              <w:left w:w="105" w:type="dxa"/>
              <w:bottom w:w="0" w:type="dxa"/>
              <w:right w:w="105" w:type="dxa"/>
            </w:tcMar>
            <w:vAlign w:val="center"/>
          </w:tcPr>
          <w:p w14:paraId="550B222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X＜20</w:t>
            </w:r>
          </w:p>
        </w:tc>
      </w:tr>
      <w:tr w14:paraId="1D5EF53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427818E7">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14602B4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48687EE8">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6BD974C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3000≤Y＜30000</w:t>
            </w:r>
          </w:p>
        </w:tc>
        <w:tc>
          <w:tcPr>
            <w:tcW w:w="1908" w:type="dxa"/>
            <w:tcMar>
              <w:top w:w="0" w:type="dxa"/>
              <w:left w:w="105" w:type="dxa"/>
              <w:bottom w:w="0" w:type="dxa"/>
              <w:right w:w="105" w:type="dxa"/>
            </w:tcMar>
            <w:vAlign w:val="center"/>
          </w:tcPr>
          <w:p w14:paraId="1060EE3A">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200≤Y＜3000</w:t>
            </w:r>
          </w:p>
        </w:tc>
        <w:tc>
          <w:tcPr>
            <w:tcW w:w="1671" w:type="dxa"/>
            <w:tcMar>
              <w:top w:w="0" w:type="dxa"/>
              <w:left w:w="105" w:type="dxa"/>
              <w:bottom w:w="0" w:type="dxa"/>
              <w:right w:w="105" w:type="dxa"/>
            </w:tcMar>
            <w:vAlign w:val="center"/>
          </w:tcPr>
          <w:p w14:paraId="719FDFF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Y＜200</w:t>
            </w:r>
          </w:p>
        </w:tc>
      </w:tr>
      <w:tr w14:paraId="02F2582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5EF2491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仓储业</w:t>
            </w:r>
          </w:p>
        </w:tc>
        <w:tc>
          <w:tcPr>
            <w:tcW w:w="1941" w:type="dxa"/>
            <w:tcMar>
              <w:top w:w="0" w:type="dxa"/>
              <w:left w:w="105" w:type="dxa"/>
              <w:bottom w:w="0" w:type="dxa"/>
              <w:right w:w="105" w:type="dxa"/>
            </w:tcMar>
            <w:vAlign w:val="center"/>
          </w:tcPr>
          <w:p w14:paraId="0FEA2EA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260D7558">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6D5B8A48">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100≤X＜200</w:t>
            </w:r>
          </w:p>
        </w:tc>
        <w:tc>
          <w:tcPr>
            <w:tcW w:w="1908" w:type="dxa"/>
            <w:tcMar>
              <w:top w:w="0" w:type="dxa"/>
              <w:left w:w="105" w:type="dxa"/>
              <w:bottom w:w="0" w:type="dxa"/>
              <w:right w:w="105" w:type="dxa"/>
            </w:tcMar>
            <w:vAlign w:val="center"/>
          </w:tcPr>
          <w:p w14:paraId="6BD4D9C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20≤X＜100</w:t>
            </w:r>
          </w:p>
        </w:tc>
        <w:tc>
          <w:tcPr>
            <w:tcW w:w="1671" w:type="dxa"/>
            <w:tcMar>
              <w:top w:w="0" w:type="dxa"/>
              <w:left w:w="105" w:type="dxa"/>
              <w:bottom w:w="0" w:type="dxa"/>
              <w:right w:w="105" w:type="dxa"/>
            </w:tcMar>
            <w:vAlign w:val="center"/>
          </w:tcPr>
          <w:p w14:paraId="5FB3773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X＜20</w:t>
            </w:r>
          </w:p>
        </w:tc>
      </w:tr>
      <w:tr w14:paraId="204DF4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62D50E0">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33846065">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7872C3F3">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65D4497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1000≤Y＜30000</w:t>
            </w:r>
          </w:p>
        </w:tc>
        <w:tc>
          <w:tcPr>
            <w:tcW w:w="1908" w:type="dxa"/>
            <w:tcMar>
              <w:top w:w="0" w:type="dxa"/>
              <w:left w:w="105" w:type="dxa"/>
              <w:bottom w:w="0" w:type="dxa"/>
              <w:right w:w="105" w:type="dxa"/>
            </w:tcMar>
            <w:vAlign w:val="center"/>
          </w:tcPr>
          <w:p w14:paraId="1C146FA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100≤Y＜1000</w:t>
            </w:r>
          </w:p>
        </w:tc>
        <w:tc>
          <w:tcPr>
            <w:tcW w:w="1671" w:type="dxa"/>
            <w:tcMar>
              <w:top w:w="0" w:type="dxa"/>
              <w:left w:w="105" w:type="dxa"/>
              <w:bottom w:w="0" w:type="dxa"/>
              <w:right w:w="105" w:type="dxa"/>
            </w:tcMar>
            <w:vAlign w:val="center"/>
          </w:tcPr>
          <w:p w14:paraId="570CC77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w:t>
            </w:r>
          </w:p>
        </w:tc>
      </w:tr>
      <w:tr w14:paraId="130FB3F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9A8E60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邮政业</w:t>
            </w:r>
          </w:p>
        </w:tc>
        <w:tc>
          <w:tcPr>
            <w:tcW w:w="1941" w:type="dxa"/>
            <w:tcMar>
              <w:top w:w="0" w:type="dxa"/>
              <w:left w:w="105" w:type="dxa"/>
              <w:bottom w:w="0" w:type="dxa"/>
              <w:right w:w="105" w:type="dxa"/>
            </w:tcMar>
            <w:vAlign w:val="center"/>
          </w:tcPr>
          <w:p w14:paraId="0F8C8D9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1E213399">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7AC5489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300≤X＜1000</w:t>
            </w:r>
          </w:p>
        </w:tc>
        <w:tc>
          <w:tcPr>
            <w:tcW w:w="1908" w:type="dxa"/>
            <w:tcMar>
              <w:top w:w="0" w:type="dxa"/>
              <w:left w:w="105" w:type="dxa"/>
              <w:bottom w:w="0" w:type="dxa"/>
              <w:right w:w="105" w:type="dxa"/>
            </w:tcMar>
            <w:vAlign w:val="center"/>
          </w:tcPr>
          <w:p w14:paraId="7D7E20F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20≤X＜300</w:t>
            </w:r>
          </w:p>
        </w:tc>
        <w:tc>
          <w:tcPr>
            <w:tcW w:w="1671" w:type="dxa"/>
            <w:tcMar>
              <w:top w:w="0" w:type="dxa"/>
              <w:left w:w="105" w:type="dxa"/>
              <w:bottom w:w="0" w:type="dxa"/>
              <w:right w:w="105" w:type="dxa"/>
            </w:tcMar>
            <w:vAlign w:val="center"/>
          </w:tcPr>
          <w:p w14:paraId="6AC4983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X＜20</w:t>
            </w:r>
          </w:p>
        </w:tc>
      </w:tr>
      <w:tr w14:paraId="19A327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C780A08">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0425C60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382B9ED7">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7C7967D5">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2000≤Y＜30000</w:t>
            </w:r>
          </w:p>
        </w:tc>
        <w:tc>
          <w:tcPr>
            <w:tcW w:w="1908" w:type="dxa"/>
            <w:tcMar>
              <w:top w:w="0" w:type="dxa"/>
              <w:left w:w="105" w:type="dxa"/>
              <w:bottom w:w="0" w:type="dxa"/>
              <w:right w:w="105" w:type="dxa"/>
            </w:tcMar>
            <w:vAlign w:val="center"/>
          </w:tcPr>
          <w:p w14:paraId="58914C6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100≤Y＜2000</w:t>
            </w:r>
          </w:p>
        </w:tc>
        <w:tc>
          <w:tcPr>
            <w:tcW w:w="1671" w:type="dxa"/>
            <w:tcMar>
              <w:top w:w="0" w:type="dxa"/>
              <w:left w:w="105" w:type="dxa"/>
              <w:bottom w:w="0" w:type="dxa"/>
              <w:right w:w="105" w:type="dxa"/>
            </w:tcMar>
            <w:vAlign w:val="center"/>
          </w:tcPr>
          <w:p w14:paraId="592C757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w:t>
            </w:r>
          </w:p>
        </w:tc>
      </w:tr>
      <w:tr w14:paraId="1C89A8C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233322D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住宿业</w:t>
            </w:r>
          </w:p>
        </w:tc>
        <w:tc>
          <w:tcPr>
            <w:tcW w:w="1941" w:type="dxa"/>
            <w:tcMar>
              <w:top w:w="0" w:type="dxa"/>
              <w:left w:w="105" w:type="dxa"/>
              <w:bottom w:w="0" w:type="dxa"/>
              <w:right w:w="105" w:type="dxa"/>
            </w:tcMar>
            <w:vAlign w:val="center"/>
          </w:tcPr>
          <w:p w14:paraId="7BCBD75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5611D50A">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0526BAC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100≤X＜300</w:t>
            </w:r>
          </w:p>
        </w:tc>
        <w:tc>
          <w:tcPr>
            <w:tcW w:w="1908" w:type="dxa"/>
            <w:tcMar>
              <w:top w:w="0" w:type="dxa"/>
              <w:left w:w="105" w:type="dxa"/>
              <w:bottom w:w="0" w:type="dxa"/>
              <w:right w:w="105" w:type="dxa"/>
            </w:tcMar>
            <w:vAlign w:val="center"/>
          </w:tcPr>
          <w:p w14:paraId="39D8051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10≤X＜100</w:t>
            </w:r>
          </w:p>
        </w:tc>
        <w:tc>
          <w:tcPr>
            <w:tcW w:w="1671" w:type="dxa"/>
            <w:tcMar>
              <w:top w:w="0" w:type="dxa"/>
              <w:left w:w="105" w:type="dxa"/>
              <w:bottom w:w="0" w:type="dxa"/>
              <w:right w:w="105" w:type="dxa"/>
            </w:tcMar>
            <w:vAlign w:val="center"/>
          </w:tcPr>
          <w:p w14:paraId="2F48F27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w:t>
            </w:r>
          </w:p>
        </w:tc>
      </w:tr>
      <w:tr w14:paraId="102C05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681C97F5">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2BFE7EA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5D4D8EAE">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0367840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2000≤Y＜10000</w:t>
            </w:r>
          </w:p>
        </w:tc>
        <w:tc>
          <w:tcPr>
            <w:tcW w:w="1908" w:type="dxa"/>
            <w:tcMar>
              <w:top w:w="0" w:type="dxa"/>
              <w:left w:w="105" w:type="dxa"/>
              <w:bottom w:w="0" w:type="dxa"/>
              <w:right w:w="105" w:type="dxa"/>
            </w:tcMar>
            <w:vAlign w:val="center"/>
          </w:tcPr>
          <w:p w14:paraId="3540B9B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100≤Y＜2000</w:t>
            </w:r>
          </w:p>
        </w:tc>
        <w:tc>
          <w:tcPr>
            <w:tcW w:w="1671" w:type="dxa"/>
            <w:tcMar>
              <w:top w:w="0" w:type="dxa"/>
              <w:left w:w="105" w:type="dxa"/>
              <w:bottom w:w="0" w:type="dxa"/>
              <w:right w:w="105" w:type="dxa"/>
            </w:tcMar>
            <w:vAlign w:val="center"/>
          </w:tcPr>
          <w:p w14:paraId="0F216BAA">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w:t>
            </w:r>
          </w:p>
        </w:tc>
      </w:tr>
      <w:tr w14:paraId="1BD0E7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03DB771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餐饮业</w:t>
            </w:r>
          </w:p>
        </w:tc>
        <w:tc>
          <w:tcPr>
            <w:tcW w:w="1941" w:type="dxa"/>
            <w:tcMar>
              <w:top w:w="0" w:type="dxa"/>
              <w:left w:w="105" w:type="dxa"/>
              <w:bottom w:w="0" w:type="dxa"/>
              <w:right w:w="105" w:type="dxa"/>
            </w:tcMar>
            <w:vAlign w:val="center"/>
          </w:tcPr>
          <w:p w14:paraId="157539D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4D382686">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7E2AB878">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100≤X＜300</w:t>
            </w:r>
          </w:p>
        </w:tc>
        <w:tc>
          <w:tcPr>
            <w:tcW w:w="1908" w:type="dxa"/>
            <w:tcMar>
              <w:top w:w="0" w:type="dxa"/>
              <w:left w:w="105" w:type="dxa"/>
              <w:bottom w:w="0" w:type="dxa"/>
              <w:right w:w="105" w:type="dxa"/>
            </w:tcMar>
            <w:vAlign w:val="center"/>
          </w:tcPr>
          <w:p w14:paraId="47F3D2F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10≤X＜100</w:t>
            </w:r>
          </w:p>
        </w:tc>
        <w:tc>
          <w:tcPr>
            <w:tcW w:w="1671" w:type="dxa"/>
            <w:tcMar>
              <w:top w:w="0" w:type="dxa"/>
              <w:left w:w="105" w:type="dxa"/>
              <w:bottom w:w="0" w:type="dxa"/>
              <w:right w:w="105" w:type="dxa"/>
            </w:tcMar>
            <w:vAlign w:val="center"/>
          </w:tcPr>
          <w:p w14:paraId="6FF16C3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w:t>
            </w:r>
          </w:p>
        </w:tc>
      </w:tr>
      <w:tr w14:paraId="6069965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38444C81">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2F37CAE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0A70CCAE">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2468D5E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2000≤Y＜10000</w:t>
            </w:r>
          </w:p>
        </w:tc>
        <w:tc>
          <w:tcPr>
            <w:tcW w:w="1908" w:type="dxa"/>
            <w:tcMar>
              <w:top w:w="0" w:type="dxa"/>
              <w:left w:w="105" w:type="dxa"/>
              <w:bottom w:w="0" w:type="dxa"/>
              <w:right w:w="105" w:type="dxa"/>
            </w:tcMar>
            <w:vAlign w:val="center"/>
          </w:tcPr>
          <w:p w14:paraId="64E1C1B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100≤Y＜2000</w:t>
            </w:r>
          </w:p>
        </w:tc>
        <w:tc>
          <w:tcPr>
            <w:tcW w:w="1671" w:type="dxa"/>
            <w:tcMar>
              <w:top w:w="0" w:type="dxa"/>
              <w:left w:w="105" w:type="dxa"/>
              <w:bottom w:w="0" w:type="dxa"/>
              <w:right w:w="105" w:type="dxa"/>
            </w:tcMar>
            <w:vAlign w:val="center"/>
          </w:tcPr>
          <w:p w14:paraId="43D1BDC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w:t>
            </w:r>
          </w:p>
        </w:tc>
      </w:tr>
      <w:tr w14:paraId="48D84B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4DBA544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信息传输业</w:t>
            </w:r>
          </w:p>
        </w:tc>
        <w:tc>
          <w:tcPr>
            <w:tcW w:w="1941" w:type="dxa"/>
            <w:tcMar>
              <w:top w:w="0" w:type="dxa"/>
              <w:left w:w="105" w:type="dxa"/>
              <w:bottom w:w="0" w:type="dxa"/>
              <w:right w:w="105" w:type="dxa"/>
            </w:tcMar>
            <w:vAlign w:val="center"/>
          </w:tcPr>
          <w:p w14:paraId="004060F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40D3D105">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190693F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100≤X＜2000</w:t>
            </w:r>
          </w:p>
        </w:tc>
        <w:tc>
          <w:tcPr>
            <w:tcW w:w="1908" w:type="dxa"/>
            <w:tcMar>
              <w:top w:w="0" w:type="dxa"/>
              <w:left w:w="105" w:type="dxa"/>
              <w:bottom w:w="0" w:type="dxa"/>
              <w:right w:w="105" w:type="dxa"/>
            </w:tcMar>
            <w:vAlign w:val="center"/>
          </w:tcPr>
          <w:p w14:paraId="2C68641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10≤X＜100</w:t>
            </w:r>
          </w:p>
        </w:tc>
        <w:tc>
          <w:tcPr>
            <w:tcW w:w="1671" w:type="dxa"/>
            <w:tcMar>
              <w:top w:w="0" w:type="dxa"/>
              <w:left w:w="105" w:type="dxa"/>
              <w:bottom w:w="0" w:type="dxa"/>
              <w:right w:w="105" w:type="dxa"/>
            </w:tcMar>
            <w:vAlign w:val="center"/>
          </w:tcPr>
          <w:p w14:paraId="3BD3D67D">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w:t>
            </w:r>
          </w:p>
        </w:tc>
      </w:tr>
      <w:tr w14:paraId="046F3C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CE7BC78">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51360AB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2146782F">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277D6B28">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1000≤Y＜100000</w:t>
            </w:r>
          </w:p>
        </w:tc>
        <w:tc>
          <w:tcPr>
            <w:tcW w:w="1908" w:type="dxa"/>
            <w:tcMar>
              <w:top w:w="0" w:type="dxa"/>
              <w:left w:w="105" w:type="dxa"/>
              <w:bottom w:w="0" w:type="dxa"/>
              <w:right w:w="105" w:type="dxa"/>
            </w:tcMar>
            <w:vAlign w:val="center"/>
          </w:tcPr>
          <w:p w14:paraId="1184AD55">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100≤Y＜1000</w:t>
            </w:r>
          </w:p>
        </w:tc>
        <w:tc>
          <w:tcPr>
            <w:tcW w:w="1671" w:type="dxa"/>
            <w:tcMar>
              <w:top w:w="0" w:type="dxa"/>
              <w:left w:w="105" w:type="dxa"/>
              <w:bottom w:w="0" w:type="dxa"/>
              <w:right w:w="105" w:type="dxa"/>
            </w:tcMar>
            <w:vAlign w:val="center"/>
          </w:tcPr>
          <w:p w14:paraId="29FA5A8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w:t>
            </w:r>
          </w:p>
        </w:tc>
      </w:tr>
      <w:tr w14:paraId="53143E5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3A620D4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软件和信息技术服务业</w:t>
            </w:r>
          </w:p>
        </w:tc>
        <w:tc>
          <w:tcPr>
            <w:tcW w:w="1941" w:type="dxa"/>
            <w:tcMar>
              <w:top w:w="0" w:type="dxa"/>
              <w:left w:w="105" w:type="dxa"/>
              <w:bottom w:w="0" w:type="dxa"/>
              <w:right w:w="105" w:type="dxa"/>
            </w:tcMar>
            <w:vAlign w:val="center"/>
          </w:tcPr>
          <w:p w14:paraId="5EA480C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67EE767D">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42448BD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100≤X＜300</w:t>
            </w:r>
          </w:p>
        </w:tc>
        <w:tc>
          <w:tcPr>
            <w:tcW w:w="1908" w:type="dxa"/>
            <w:tcMar>
              <w:top w:w="0" w:type="dxa"/>
              <w:left w:w="105" w:type="dxa"/>
              <w:bottom w:w="0" w:type="dxa"/>
              <w:right w:w="105" w:type="dxa"/>
            </w:tcMar>
            <w:vAlign w:val="center"/>
          </w:tcPr>
          <w:p w14:paraId="5AB5058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10≤X＜100</w:t>
            </w:r>
          </w:p>
        </w:tc>
        <w:tc>
          <w:tcPr>
            <w:tcW w:w="1671" w:type="dxa"/>
            <w:tcMar>
              <w:top w:w="0" w:type="dxa"/>
              <w:left w:w="105" w:type="dxa"/>
              <w:bottom w:w="0" w:type="dxa"/>
              <w:right w:w="105" w:type="dxa"/>
            </w:tcMar>
            <w:vAlign w:val="center"/>
          </w:tcPr>
          <w:p w14:paraId="6DA0F64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w:t>
            </w:r>
          </w:p>
        </w:tc>
      </w:tr>
      <w:tr w14:paraId="6BE939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4AA916FA">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53E3609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54FC7C28">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7533F06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1000≤Y＜10000</w:t>
            </w:r>
          </w:p>
        </w:tc>
        <w:tc>
          <w:tcPr>
            <w:tcW w:w="1908" w:type="dxa"/>
            <w:tcMar>
              <w:top w:w="0" w:type="dxa"/>
              <w:left w:w="105" w:type="dxa"/>
              <w:bottom w:w="0" w:type="dxa"/>
              <w:right w:w="105" w:type="dxa"/>
            </w:tcMar>
            <w:vAlign w:val="center"/>
          </w:tcPr>
          <w:p w14:paraId="649BAD5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50≤Y＜1000</w:t>
            </w:r>
          </w:p>
        </w:tc>
        <w:tc>
          <w:tcPr>
            <w:tcW w:w="1671" w:type="dxa"/>
            <w:tcMar>
              <w:top w:w="0" w:type="dxa"/>
              <w:left w:w="105" w:type="dxa"/>
              <w:bottom w:w="0" w:type="dxa"/>
              <w:right w:w="105" w:type="dxa"/>
            </w:tcMar>
            <w:vAlign w:val="center"/>
          </w:tcPr>
          <w:p w14:paraId="435696E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Y＜50</w:t>
            </w:r>
          </w:p>
        </w:tc>
      </w:tr>
      <w:tr w14:paraId="40C91CD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D61D58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房地产开发经营</w:t>
            </w:r>
          </w:p>
        </w:tc>
        <w:tc>
          <w:tcPr>
            <w:tcW w:w="1941" w:type="dxa"/>
            <w:tcMar>
              <w:top w:w="0" w:type="dxa"/>
              <w:left w:w="105" w:type="dxa"/>
              <w:bottom w:w="0" w:type="dxa"/>
              <w:right w:w="105" w:type="dxa"/>
            </w:tcMar>
            <w:vAlign w:val="center"/>
          </w:tcPr>
          <w:p w14:paraId="5D4A892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0F7D15B5">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4CB6877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1000≤Y＜200000</w:t>
            </w:r>
          </w:p>
        </w:tc>
        <w:tc>
          <w:tcPr>
            <w:tcW w:w="1908" w:type="dxa"/>
            <w:tcMar>
              <w:top w:w="0" w:type="dxa"/>
              <w:left w:w="105" w:type="dxa"/>
              <w:bottom w:w="0" w:type="dxa"/>
              <w:right w:w="105" w:type="dxa"/>
            </w:tcMar>
            <w:vAlign w:val="center"/>
          </w:tcPr>
          <w:p w14:paraId="11788BDF">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100≤X＜1000</w:t>
            </w:r>
          </w:p>
        </w:tc>
        <w:tc>
          <w:tcPr>
            <w:tcW w:w="1671" w:type="dxa"/>
            <w:tcMar>
              <w:top w:w="0" w:type="dxa"/>
              <w:left w:w="105" w:type="dxa"/>
              <w:bottom w:w="0" w:type="dxa"/>
              <w:right w:w="105" w:type="dxa"/>
            </w:tcMar>
            <w:vAlign w:val="center"/>
          </w:tcPr>
          <w:p w14:paraId="589AAC1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X＜100</w:t>
            </w:r>
          </w:p>
        </w:tc>
      </w:tr>
      <w:tr w14:paraId="150229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7E6525B2">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09640E9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资产总额（Z）</w:t>
            </w:r>
          </w:p>
        </w:tc>
        <w:tc>
          <w:tcPr>
            <w:tcW w:w="559" w:type="dxa"/>
            <w:tcMar>
              <w:top w:w="0" w:type="dxa"/>
              <w:left w:w="105" w:type="dxa"/>
              <w:bottom w:w="0" w:type="dxa"/>
              <w:right w:w="105" w:type="dxa"/>
            </w:tcMar>
            <w:vAlign w:val="center"/>
          </w:tcPr>
          <w:p w14:paraId="5E9039C7">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5E05645A">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5000≤Z＜10000</w:t>
            </w:r>
          </w:p>
        </w:tc>
        <w:tc>
          <w:tcPr>
            <w:tcW w:w="1908" w:type="dxa"/>
            <w:tcMar>
              <w:top w:w="0" w:type="dxa"/>
              <w:left w:w="105" w:type="dxa"/>
              <w:bottom w:w="0" w:type="dxa"/>
              <w:right w:w="105" w:type="dxa"/>
            </w:tcMar>
            <w:vAlign w:val="center"/>
          </w:tcPr>
          <w:p w14:paraId="0FE7C17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2000≤Y＜5000</w:t>
            </w:r>
          </w:p>
        </w:tc>
        <w:tc>
          <w:tcPr>
            <w:tcW w:w="1671" w:type="dxa"/>
            <w:tcMar>
              <w:top w:w="0" w:type="dxa"/>
              <w:left w:w="105" w:type="dxa"/>
              <w:bottom w:w="0" w:type="dxa"/>
              <w:right w:w="105" w:type="dxa"/>
            </w:tcMar>
            <w:vAlign w:val="center"/>
          </w:tcPr>
          <w:p w14:paraId="48F5B3D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Y＜2000</w:t>
            </w:r>
          </w:p>
        </w:tc>
      </w:tr>
      <w:tr w14:paraId="0621C4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0F11765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物业管理</w:t>
            </w:r>
          </w:p>
        </w:tc>
        <w:tc>
          <w:tcPr>
            <w:tcW w:w="1941" w:type="dxa"/>
            <w:tcMar>
              <w:top w:w="0" w:type="dxa"/>
              <w:left w:w="105" w:type="dxa"/>
              <w:bottom w:w="0" w:type="dxa"/>
              <w:right w:w="105" w:type="dxa"/>
            </w:tcMar>
            <w:vAlign w:val="center"/>
          </w:tcPr>
          <w:p w14:paraId="2BF5167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746B6B34">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57FCAEE3">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300≤X＜1000</w:t>
            </w:r>
          </w:p>
        </w:tc>
        <w:tc>
          <w:tcPr>
            <w:tcW w:w="1908" w:type="dxa"/>
            <w:tcMar>
              <w:top w:w="0" w:type="dxa"/>
              <w:left w:w="105" w:type="dxa"/>
              <w:bottom w:w="0" w:type="dxa"/>
              <w:right w:w="105" w:type="dxa"/>
            </w:tcMar>
            <w:vAlign w:val="center"/>
          </w:tcPr>
          <w:p w14:paraId="13CE243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100≤X＜300</w:t>
            </w:r>
          </w:p>
        </w:tc>
        <w:tc>
          <w:tcPr>
            <w:tcW w:w="1671" w:type="dxa"/>
            <w:tcMar>
              <w:top w:w="0" w:type="dxa"/>
              <w:left w:w="105" w:type="dxa"/>
              <w:bottom w:w="0" w:type="dxa"/>
              <w:right w:w="105" w:type="dxa"/>
            </w:tcMar>
            <w:vAlign w:val="center"/>
          </w:tcPr>
          <w:p w14:paraId="664F2A9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X＜100</w:t>
            </w:r>
          </w:p>
        </w:tc>
      </w:tr>
      <w:tr w14:paraId="5FABE3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88CFC1C">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33B09E9B">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营业收入（Y）</w:t>
            </w:r>
          </w:p>
        </w:tc>
        <w:tc>
          <w:tcPr>
            <w:tcW w:w="559" w:type="dxa"/>
            <w:tcMar>
              <w:top w:w="0" w:type="dxa"/>
              <w:left w:w="105" w:type="dxa"/>
              <w:bottom w:w="0" w:type="dxa"/>
              <w:right w:w="105" w:type="dxa"/>
            </w:tcMar>
            <w:vAlign w:val="center"/>
          </w:tcPr>
          <w:p w14:paraId="19C17162">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2D27849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1000≤Y＜5000</w:t>
            </w:r>
          </w:p>
        </w:tc>
        <w:tc>
          <w:tcPr>
            <w:tcW w:w="1908" w:type="dxa"/>
            <w:tcMar>
              <w:top w:w="0" w:type="dxa"/>
              <w:left w:w="105" w:type="dxa"/>
              <w:bottom w:w="0" w:type="dxa"/>
              <w:right w:w="105" w:type="dxa"/>
            </w:tcMar>
            <w:vAlign w:val="center"/>
          </w:tcPr>
          <w:p w14:paraId="60171D8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500≤Y＜1000</w:t>
            </w:r>
          </w:p>
        </w:tc>
        <w:tc>
          <w:tcPr>
            <w:tcW w:w="1671" w:type="dxa"/>
            <w:tcMar>
              <w:top w:w="0" w:type="dxa"/>
              <w:left w:w="105" w:type="dxa"/>
              <w:bottom w:w="0" w:type="dxa"/>
              <w:right w:w="105" w:type="dxa"/>
            </w:tcMar>
            <w:vAlign w:val="center"/>
          </w:tcPr>
          <w:p w14:paraId="71D3A69E">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Y＜500</w:t>
            </w:r>
          </w:p>
        </w:tc>
      </w:tr>
      <w:tr w14:paraId="1432030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0455E47">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租赁和商务服务业</w:t>
            </w:r>
          </w:p>
        </w:tc>
        <w:tc>
          <w:tcPr>
            <w:tcW w:w="1941" w:type="dxa"/>
            <w:tcMar>
              <w:top w:w="0" w:type="dxa"/>
              <w:left w:w="105" w:type="dxa"/>
              <w:bottom w:w="0" w:type="dxa"/>
              <w:right w:w="105" w:type="dxa"/>
            </w:tcMar>
            <w:vAlign w:val="center"/>
          </w:tcPr>
          <w:p w14:paraId="603EC3A0">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62E3B84D">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55224062">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100≤X＜300</w:t>
            </w:r>
          </w:p>
        </w:tc>
        <w:tc>
          <w:tcPr>
            <w:tcW w:w="1908" w:type="dxa"/>
            <w:tcMar>
              <w:top w:w="0" w:type="dxa"/>
              <w:left w:w="105" w:type="dxa"/>
              <w:bottom w:w="0" w:type="dxa"/>
              <w:right w:w="105" w:type="dxa"/>
            </w:tcMar>
            <w:vAlign w:val="center"/>
          </w:tcPr>
          <w:p w14:paraId="1E0CC45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10≤X＜100</w:t>
            </w:r>
          </w:p>
        </w:tc>
        <w:tc>
          <w:tcPr>
            <w:tcW w:w="1671" w:type="dxa"/>
            <w:tcMar>
              <w:top w:w="0" w:type="dxa"/>
              <w:left w:w="105" w:type="dxa"/>
              <w:bottom w:w="0" w:type="dxa"/>
              <w:right w:w="105" w:type="dxa"/>
            </w:tcMar>
            <w:vAlign w:val="center"/>
          </w:tcPr>
          <w:p w14:paraId="6AD54E8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w:t>
            </w:r>
          </w:p>
        </w:tc>
      </w:tr>
      <w:tr w14:paraId="4C4538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DAB2518">
            <w:pPr>
              <w:widowControl/>
              <w:spacing w:line="360" w:lineRule="auto"/>
              <w:jc w:val="center"/>
              <w:rPr>
                <w:rFonts w:hint="eastAsia" w:ascii="宋体" w:hAnsi="宋体" w:cs="宋体"/>
                <w:szCs w:val="21"/>
                <w:highlight w:val="none"/>
              </w:rPr>
            </w:pPr>
          </w:p>
        </w:tc>
        <w:tc>
          <w:tcPr>
            <w:tcW w:w="1941" w:type="dxa"/>
            <w:tcMar>
              <w:top w:w="0" w:type="dxa"/>
              <w:left w:w="105" w:type="dxa"/>
              <w:bottom w:w="0" w:type="dxa"/>
              <w:right w:w="105" w:type="dxa"/>
            </w:tcMar>
            <w:vAlign w:val="center"/>
          </w:tcPr>
          <w:p w14:paraId="09BAE5B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资产总额（Z）</w:t>
            </w:r>
          </w:p>
        </w:tc>
        <w:tc>
          <w:tcPr>
            <w:tcW w:w="559" w:type="dxa"/>
            <w:tcMar>
              <w:top w:w="0" w:type="dxa"/>
              <w:left w:w="105" w:type="dxa"/>
              <w:bottom w:w="0" w:type="dxa"/>
              <w:right w:w="105" w:type="dxa"/>
            </w:tcMar>
            <w:vAlign w:val="center"/>
          </w:tcPr>
          <w:p w14:paraId="620C12DE">
            <w:pPr>
              <w:pStyle w:val="285"/>
              <w:spacing w:line="360" w:lineRule="auto"/>
              <w:rPr>
                <w:rFonts w:hint="eastAsia" w:hAnsi="宋体" w:cs="宋体"/>
                <w:sz w:val="21"/>
                <w:szCs w:val="21"/>
                <w:highlight w:val="none"/>
              </w:rPr>
            </w:pPr>
            <w:r>
              <w:rPr>
                <w:rStyle w:val="293"/>
                <w:rFonts w:hint="eastAsia" w:hAnsi="宋体" w:cs="宋体"/>
                <w:sz w:val="21"/>
                <w:szCs w:val="21"/>
                <w:highlight w:val="none"/>
              </w:rPr>
              <w:t>万元</w:t>
            </w:r>
          </w:p>
        </w:tc>
        <w:tc>
          <w:tcPr>
            <w:tcW w:w="2332" w:type="dxa"/>
            <w:tcMar>
              <w:top w:w="0" w:type="dxa"/>
              <w:left w:w="105" w:type="dxa"/>
              <w:bottom w:w="0" w:type="dxa"/>
              <w:right w:w="105" w:type="dxa"/>
            </w:tcMar>
            <w:vAlign w:val="center"/>
          </w:tcPr>
          <w:p w14:paraId="043CC9F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8000≤Z＜120000</w:t>
            </w:r>
          </w:p>
        </w:tc>
        <w:tc>
          <w:tcPr>
            <w:tcW w:w="1908" w:type="dxa"/>
            <w:tcMar>
              <w:top w:w="0" w:type="dxa"/>
              <w:left w:w="105" w:type="dxa"/>
              <w:bottom w:w="0" w:type="dxa"/>
              <w:right w:w="105" w:type="dxa"/>
            </w:tcMar>
            <w:vAlign w:val="center"/>
          </w:tcPr>
          <w:p w14:paraId="2B1D7B4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100≤Z＜8000</w:t>
            </w:r>
          </w:p>
        </w:tc>
        <w:tc>
          <w:tcPr>
            <w:tcW w:w="1671" w:type="dxa"/>
            <w:tcMar>
              <w:top w:w="0" w:type="dxa"/>
              <w:left w:w="105" w:type="dxa"/>
              <w:bottom w:w="0" w:type="dxa"/>
              <w:right w:w="105" w:type="dxa"/>
            </w:tcMar>
            <w:vAlign w:val="center"/>
          </w:tcPr>
          <w:p w14:paraId="250F0526">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Y＜100</w:t>
            </w:r>
          </w:p>
        </w:tc>
      </w:tr>
      <w:tr w14:paraId="43C473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tcMar>
              <w:top w:w="0" w:type="dxa"/>
              <w:left w:w="105" w:type="dxa"/>
              <w:bottom w:w="0" w:type="dxa"/>
              <w:right w:w="105" w:type="dxa"/>
            </w:tcMar>
            <w:vAlign w:val="center"/>
          </w:tcPr>
          <w:p w14:paraId="169C35B1">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其他未列明行业</w:t>
            </w:r>
          </w:p>
        </w:tc>
        <w:tc>
          <w:tcPr>
            <w:tcW w:w="1941" w:type="dxa"/>
            <w:tcMar>
              <w:top w:w="0" w:type="dxa"/>
              <w:left w:w="105" w:type="dxa"/>
              <w:bottom w:w="0" w:type="dxa"/>
              <w:right w:w="105" w:type="dxa"/>
            </w:tcMar>
            <w:vAlign w:val="center"/>
          </w:tcPr>
          <w:p w14:paraId="01C48FE9">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从业人员（X）</w:t>
            </w:r>
          </w:p>
        </w:tc>
        <w:tc>
          <w:tcPr>
            <w:tcW w:w="559" w:type="dxa"/>
            <w:tcMar>
              <w:top w:w="0" w:type="dxa"/>
              <w:left w:w="105" w:type="dxa"/>
              <w:bottom w:w="0" w:type="dxa"/>
              <w:right w:w="105" w:type="dxa"/>
            </w:tcMar>
            <w:vAlign w:val="center"/>
          </w:tcPr>
          <w:p w14:paraId="6CD1917E">
            <w:pPr>
              <w:pStyle w:val="285"/>
              <w:spacing w:line="360" w:lineRule="auto"/>
              <w:rPr>
                <w:rFonts w:hint="eastAsia" w:hAnsi="宋体" w:cs="宋体"/>
                <w:sz w:val="21"/>
                <w:szCs w:val="21"/>
                <w:highlight w:val="none"/>
              </w:rPr>
            </w:pPr>
            <w:r>
              <w:rPr>
                <w:rStyle w:val="293"/>
                <w:rFonts w:hint="eastAsia" w:hAnsi="宋体" w:cs="宋体"/>
                <w:sz w:val="21"/>
                <w:szCs w:val="21"/>
                <w:highlight w:val="none"/>
              </w:rPr>
              <w:t>人</w:t>
            </w:r>
          </w:p>
        </w:tc>
        <w:tc>
          <w:tcPr>
            <w:tcW w:w="2332" w:type="dxa"/>
            <w:tcMar>
              <w:top w:w="0" w:type="dxa"/>
              <w:left w:w="105" w:type="dxa"/>
              <w:bottom w:w="0" w:type="dxa"/>
              <w:right w:w="105" w:type="dxa"/>
            </w:tcMar>
            <w:vAlign w:val="center"/>
          </w:tcPr>
          <w:p w14:paraId="3EC7834A">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100≤X＜300</w:t>
            </w:r>
          </w:p>
        </w:tc>
        <w:tc>
          <w:tcPr>
            <w:tcW w:w="1908" w:type="dxa"/>
            <w:tcMar>
              <w:top w:w="0" w:type="dxa"/>
              <w:left w:w="105" w:type="dxa"/>
              <w:bottom w:w="0" w:type="dxa"/>
              <w:right w:w="105" w:type="dxa"/>
            </w:tcMar>
            <w:vAlign w:val="center"/>
          </w:tcPr>
          <w:p w14:paraId="070489AC">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10≤X＜100</w:t>
            </w:r>
          </w:p>
        </w:tc>
        <w:tc>
          <w:tcPr>
            <w:tcW w:w="1671" w:type="dxa"/>
            <w:tcMar>
              <w:top w:w="0" w:type="dxa"/>
              <w:left w:w="105" w:type="dxa"/>
              <w:bottom w:w="0" w:type="dxa"/>
              <w:right w:w="105" w:type="dxa"/>
            </w:tcMar>
            <w:vAlign w:val="center"/>
          </w:tcPr>
          <w:p w14:paraId="54225284">
            <w:pPr>
              <w:pStyle w:val="285"/>
              <w:spacing w:line="360" w:lineRule="auto"/>
              <w:jc w:val="center"/>
              <w:rPr>
                <w:rFonts w:hint="eastAsia" w:hAnsi="宋体" w:cs="宋体"/>
                <w:sz w:val="21"/>
                <w:szCs w:val="21"/>
                <w:highlight w:val="none"/>
              </w:rPr>
            </w:pPr>
            <w:r>
              <w:rPr>
                <w:rStyle w:val="293"/>
                <w:rFonts w:hint="eastAsia" w:hAnsi="宋体" w:cs="宋体"/>
                <w:sz w:val="21"/>
                <w:szCs w:val="21"/>
                <w:highlight w:val="none"/>
              </w:rPr>
              <w:t>X＜10</w:t>
            </w:r>
          </w:p>
        </w:tc>
      </w:tr>
    </w:tbl>
    <w:p w14:paraId="62878F7C">
      <w:pPr>
        <w:pStyle w:val="285"/>
        <w:spacing w:before="300" w:after="452" w:line="360" w:lineRule="auto"/>
        <w:ind w:firstLine="420"/>
        <w:rPr>
          <w:rStyle w:val="293"/>
          <w:rFonts w:hint="eastAsia" w:hAnsi="宋体" w:cs="宋体"/>
          <w:sz w:val="21"/>
          <w:szCs w:val="21"/>
          <w:highlight w:val="none"/>
        </w:rPr>
      </w:pPr>
      <w:r>
        <w:rPr>
          <w:rStyle w:val="293"/>
          <w:rFonts w:hint="eastAsia" w:hAnsi="宋体" w:cs="宋体"/>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5986B55">
      <w:pPr>
        <w:rPr>
          <w:rFonts w:hint="eastAsia" w:ascii="宋体" w:hAnsi="宋体" w:cs="宋体"/>
          <w:highlight w:val="none"/>
        </w:rPr>
      </w:pPr>
    </w:p>
    <w:p w14:paraId="435A42D7">
      <w:pPr>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78C31D53">
      <w:pPr>
        <w:pStyle w:val="390"/>
        <w:spacing w:before="151" w:after="151" w:line="600" w:lineRule="exact"/>
        <w:jc w:val="center"/>
        <w:rPr>
          <w:rFonts w:hint="eastAsia" w:ascii="宋体" w:hAnsi="宋体" w:cs="宋体"/>
          <w:b/>
          <w:bCs/>
          <w:sz w:val="32"/>
          <w:szCs w:val="32"/>
          <w:highlight w:val="none"/>
        </w:rPr>
      </w:pPr>
    </w:p>
    <w:p w14:paraId="7048F694">
      <w:pPr>
        <w:pStyle w:val="390"/>
        <w:spacing w:before="151" w:after="151" w:line="600" w:lineRule="exact"/>
        <w:jc w:val="center"/>
        <w:rPr>
          <w:rFonts w:hint="eastAsia" w:ascii="宋体" w:hAnsi="宋体" w:cs="宋体"/>
          <w:b/>
          <w:bCs/>
          <w:sz w:val="32"/>
          <w:szCs w:val="32"/>
          <w:highlight w:val="none"/>
        </w:rPr>
      </w:pPr>
      <w:r>
        <w:rPr>
          <w:rFonts w:hint="eastAsia" w:ascii="宋体" w:hAnsi="宋体" w:cs="宋体"/>
          <w:b/>
          <w:bCs/>
          <w:sz w:val="32"/>
          <w:szCs w:val="32"/>
          <w:highlight w:val="none"/>
        </w:rPr>
        <w:t>残疾人福利性单位声明函</w:t>
      </w:r>
    </w:p>
    <w:p w14:paraId="3A288EAB">
      <w:pPr>
        <w:pStyle w:val="600"/>
        <w:spacing w:line="588" w:lineRule="exact"/>
        <w:rPr>
          <w:rFonts w:hint="eastAsia" w:ascii="宋体" w:hAnsi="宋体" w:cs="宋体"/>
          <w:b/>
          <w:spacing w:val="6"/>
          <w:sz w:val="30"/>
          <w:szCs w:val="30"/>
          <w:highlight w:val="none"/>
        </w:rPr>
      </w:pPr>
    </w:p>
    <w:p w14:paraId="40F5F62F">
      <w:pPr>
        <w:pStyle w:val="390"/>
        <w:spacing w:line="500" w:lineRule="exact"/>
        <w:ind w:firstLine="480"/>
        <w:rPr>
          <w:rFonts w:hint="eastAsia" w:ascii="宋体" w:hAnsi="宋体" w:cs="宋体"/>
          <w:sz w:val="24"/>
          <w:highlight w:val="none"/>
        </w:rPr>
      </w:pPr>
      <w:r>
        <w:rPr>
          <w:rFonts w:hint="eastAsia" w:ascii="宋体" w:hAnsi="宋体" w:cs="宋体"/>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36F24E87">
      <w:pPr>
        <w:pStyle w:val="390"/>
        <w:spacing w:line="500" w:lineRule="exact"/>
        <w:ind w:firstLine="480"/>
        <w:rPr>
          <w:rFonts w:hint="eastAsia" w:ascii="宋体" w:hAnsi="宋体" w:cs="宋体"/>
          <w:sz w:val="24"/>
          <w:highlight w:val="none"/>
        </w:rPr>
      </w:pPr>
      <w:r>
        <w:rPr>
          <w:rFonts w:hint="eastAsia" w:ascii="宋体" w:hAnsi="宋体" w:cs="宋体"/>
          <w:sz w:val="24"/>
          <w:highlight w:val="none"/>
        </w:rPr>
        <w:t>本单位对上述声明的真实性负责。如有虚假，将依法承担相应责任。</w:t>
      </w:r>
    </w:p>
    <w:p w14:paraId="08BB68A3">
      <w:pPr>
        <w:pStyle w:val="600"/>
        <w:spacing w:line="588" w:lineRule="exact"/>
        <w:ind w:firstLine="504"/>
        <w:rPr>
          <w:rFonts w:hint="eastAsia" w:ascii="宋体" w:hAnsi="宋体" w:cs="宋体"/>
          <w:spacing w:val="6"/>
          <w:sz w:val="24"/>
          <w:szCs w:val="24"/>
          <w:highlight w:val="none"/>
        </w:rPr>
      </w:pPr>
    </w:p>
    <w:p w14:paraId="18A9F5A8">
      <w:pPr>
        <w:pStyle w:val="600"/>
        <w:spacing w:line="588" w:lineRule="exact"/>
        <w:ind w:firstLine="504"/>
        <w:rPr>
          <w:rFonts w:hint="eastAsia" w:ascii="宋体" w:hAnsi="宋体" w:cs="宋体"/>
          <w:spacing w:val="6"/>
          <w:sz w:val="24"/>
          <w:szCs w:val="24"/>
          <w:highlight w:val="none"/>
        </w:rPr>
      </w:pPr>
    </w:p>
    <w:p w14:paraId="4B41E999">
      <w:pPr>
        <w:pStyle w:val="285"/>
        <w:ind w:firstLine="480"/>
        <w:jc w:val="both"/>
        <w:rPr>
          <w:rFonts w:hint="eastAsia" w:hAnsi="宋体" w:cs="宋体"/>
          <w:highlight w:val="none"/>
        </w:rPr>
      </w:pPr>
      <w:r>
        <w:rPr>
          <w:rFonts w:hint="eastAsia" w:hAnsi="宋体" w:cs="宋体"/>
          <w:highlight w:val="none"/>
        </w:rPr>
        <w:t>单位名称：（公章）</w:t>
      </w:r>
    </w:p>
    <w:p w14:paraId="3AAB7BEF">
      <w:pPr>
        <w:pStyle w:val="382"/>
        <w:spacing w:line="700" w:lineRule="exact"/>
        <w:ind w:firstLine="629"/>
        <w:rPr>
          <w:rFonts w:hint="eastAsia" w:ascii="宋体" w:hAnsi="宋体" w:cs="宋体"/>
          <w:sz w:val="24"/>
          <w:highlight w:val="none"/>
        </w:rPr>
      </w:pPr>
      <w:r>
        <w:rPr>
          <w:rFonts w:hint="eastAsia" w:ascii="宋体" w:hAnsi="宋体" w:cs="宋体"/>
          <w:sz w:val="24"/>
          <w:highlight w:val="none"/>
        </w:rPr>
        <w:t>法定代表人（或授权代表）：（签字或签章）</w:t>
      </w:r>
      <w:r>
        <w:rPr>
          <w:rFonts w:hint="eastAsia" w:ascii="宋体" w:hAnsi="宋体" w:cs="宋体"/>
          <w:sz w:val="24"/>
          <w:highlight w:val="none"/>
          <w:u w:val="single"/>
        </w:rPr>
        <w:t xml:space="preserve">              </w:t>
      </w:r>
    </w:p>
    <w:p w14:paraId="5FBE4222">
      <w:pPr>
        <w:pStyle w:val="444"/>
        <w:ind w:firstLine="720"/>
        <w:rPr>
          <w:rFonts w:hint="eastAsia" w:ascii="宋体" w:hAnsi="宋体" w:cs="宋体"/>
          <w:sz w:val="24"/>
          <w:highlight w:val="none"/>
          <w:u w:val="single"/>
        </w:rPr>
      </w:pPr>
    </w:p>
    <w:p w14:paraId="20FC090A">
      <w:pPr>
        <w:pStyle w:val="444"/>
        <w:ind w:firstLine="4320"/>
        <w:rPr>
          <w:rFonts w:hint="eastAsia" w:ascii="宋体" w:hAnsi="宋体" w:cs="宋体"/>
          <w:highlight w:val="none"/>
        </w:rPr>
      </w:pP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7FF393AE">
      <w:pPr>
        <w:pStyle w:val="509"/>
        <w:rPr>
          <w:rFonts w:hint="eastAsia" w:ascii="宋体" w:hAnsi="宋体" w:eastAsia="宋体" w:cs="宋体"/>
          <w:highlight w:val="none"/>
        </w:rPr>
      </w:pPr>
    </w:p>
    <w:p w14:paraId="3E756C41">
      <w:pPr>
        <w:pStyle w:val="390"/>
        <w:rPr>
          <w:rFonts w:hint="eastAsia" w:ascii="宋体" w:hAnsi="宋体" w:cs="宋体"/>
          <w:highlight w:val="none"/>
        </w:rPr>
      </w:pPr>
      <w:r>
        <w:rPr>
          <w:rFonts w:hint="eastAsia" w:ascii="宋体" w:hAnsi="宋体" w:cs="宋体"/>
          <w:highlight w:val="none"/>
        </w:rPr>
        <w:t>注：1、残疾人福利性单位应完整填写此函并提供相关证明材料；</w:t>
      </w:r>
    </w:p>
    <w:p w14:paraId="39C6BEC6">
      <w:pPr>
        <w:pStyle w:val="390"/>
        <w:ind w:firstLine="420"/>
        <w:rPr>
          <w:rFonts w:hint="eastAsia" w:ascii="宋体" w:hAnsi="宋体" w:cs="宋体"/>
          <w:highlight w:val="none"/>
        </w:rPr>
      </w:pPr>
      <w:r>
        <w:rPr>
          <w:rFonts w:hint="eastAsia" w:ascii="宋体" w:hAnsi="宋体" w:cs="宋体"/>
          <w:highlight w:val="none"/>
        </w:rPr>
        <w:t>2、非残疾人福利性单位不需提供此声明函</w:t>
      </w:r>
    </w:p>
    <w:p w14:paraId="18917E82">
      <w:pPr>
        <w:widowControl/>
        <w:jc w:val="left"/>
        <w:rPr>
          <w:rFonts w:hint="eastAsia" w:ascii="宋体" w:hAnsi="宋体" w:cs="宋体"/>
          <w:b/>
          <w:bCs/>
          <w:sz w:val="28"/>
          <w:szCs w:val="28"/>
          <w:highlight w:val="none"/>
        </w:rPr>
      </w:pPr>
      <w:r>
        <w:rPr>
          <w:rFonts w:hint="eastAsia" w:ascii="宋体" w:hAnsi="宋体" w:cs="宋体"/>
          <w:b/>
          <w:bCs/>
          <w:sz w:val="28"/>
          <w:szCs w:val="28"/>
          <w:highlight w:val="none"/>
        </w:rPr>
        <w:br w:type="page"/>
      </w:r>
    </w:p>
    <w:p w14:paraId="20AF0D22">
      <w:pPr>
        <w:spacing w:line="360" w:lineRule="auto"/>
        <w:jc w:val="center"/>
        <w:outlineLvl w:val="0"/>
        <w:rPr>
          <w:rFonts w:hint="eastAsia" w:ascii="宋体" w:hAnsi="宋体" w:cs="宋体"/>
          <w:b/>
          <w:bCs/>
          <w:sz w:val="28"/>
          <w:szCs w:val="28"/>
          <w:highlight w:val="none"/>
        </w:rPr>
      </w:pPr>
      <w:bookmarkStart w:id="159" w:name="_Toc199794513"/>
      <w:r>
        <w:rPr>
          <w:rFonts w:hint="eastAsia" w:ascii="宋体" w:hAnsi="宋体" w:cs="宋体"/>
          <w:b/>
          <w:bCs/>
          <w:sz w:val="28"/>
          <w:szCs w:val="28"/>
          <w:highlight w:val="none"/>
        </w:rPr>
        <w:t>属于监狱企业的证明文件</w:t>
      </w:r>
      <w:bookmarkEnd w:id="159"/>
    </w:p>
    <w:p w14:paraId="769784E6">
      <w:pPr>
        <w:spacing w:line="360" w:lineRule="auto"/>
        <w:rPr>
          <w:rFonts w:hint="eastAsia"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2DD26A8F">
      <w:pPr>
        <w:spacing w:line="360" w:lineRule="auto"/>
        <w:rPr>
          <w:rFonts w:hint="eastAsia" w:ascii="宋体" w:hAnsi="宋体" w:cs="宋体"/>
          <w:b/>
          <w:bCs/>
          <w:highlight w:val="none"/>
        </w:rPr>
      </w:pPr>
      <w:r>
        <w:rPr>
          <w:rFonts w:hint="eastAsia" w:ascii="宋体" w:hAnsi="宋体" w:cs="宋体"/>
          <w:b/>
          <w:bCs/>
          <w:highlight w:val="none"/>
        </w:rPr>
        <w:t xml:space="preserve"> </w:t>
      </w:r>
    </w:p>
    <w:p w14:paraId="7C4EC54A">
      <w:pPr>
        <w:spacing w:line="360" w:lineRule="auto"/>
        <w:rPr>
          <w:rFonts w:hint="eastAsia" w:ascii="宋体" w:hAnsi="宋体" w:cs="宋体"/>
          <w:b/>
          <w:bCs/>
          <w:highlight w:val="none"/>
        </w:rPr>
      </w:pPr>
      <w:r>
        <w:rPr>
          <w:rFonts w:hint="eastAsia" w:ascii="宋体" w:hAnsi="宋体" w:cs="宋体"/>
          <w:b/>
          <w:bCs/>
          <w:highlight w:val="none"/>
        </w:rPr>
        <w:t xml:space="preserve"> </w:t>
      </w:r>
    </w:p>
    <w:p w14:paraId="74F3A3D0">
      <w:pPr>
        <w:spacing w:line="360" w:lineRule="auto"/>
        <w:rPr>
          <w:rFonts w:hint="eastAsia" w:ascii="宋体" w:hAnsi="宋体" w:cs="宋体"/>
          <w:b/>
          <w:bCs/>
          <w:highlight w:val="none"/>
        </w:rPr>
      </w:pPr>
      <w:r>
        <w:rPr>
          <w:rFonts w:hint="eastAsia" w:ascii="宋体" w:hAnsi="宋体" w:cs="宋体"/>
          <w:b/>
          <w:bCs/>
          <w:highlight w:val="none"/>
        </w:rPr>
        <w:t xml:space="preserve"> </w:t>
      </w:r>
    </w:p>
    <w:p w14:paraId="41E04D30">
      <w:pPr>
        <w:spacing w:line="360" w:lineRule="auto"/>
        <w:rPr>
          <w:rFonts w:hint="eastAsia" w:ascii="宋体" w:hAnsi="宋体" w:cs="宋体"/>
          <w:b/>
          <w:bCs/>
          <w:highlight w:val="none"/>
        </w:rPr>
      </w:pPr>
      <w:r>
        <w:rPr>
          <w:rFonts w:hint="eastAsia" w:ascii="宋体" w:hAnsi="宋体" w:cs="宋体"/>
          <w:b/>
          <w:bCs/>
          <w:highlight w:val="none"/>
        </w:rPr>
        <w:t xml:space="preserve"> </w:t>
      </w:r>
    </w:p>
    <w:p w14:paraId="54FDF032">
      <w:pPr>
        <w:spacing w:line="360" w:lineRule="auto"/>
        <w:rPr>
          <w:rFonts w:hint="eastAsia" w:ascii="宋体" w:hAnsi="宋体" w:cs="宋体"/>
          <w:b/>
          <w:bCs/>
          <w:highlight w:val="none"/>
        </w:rPr>
      </w:pPr>
      <w:r>
        <w:rPr>
          <w:rFonts w:hint="eastAsia" w:ascii="宋体" w:hAnsi="宋体" w:cs="宋体"/>
          <w:b/>
          <w:bCs/>
          <w:highlight w:val="none"/>
        </w:rPr>
        <w:t xml:space="preserve"> </w:t>
      </w:r>
    </w:p>
    <w:p w14:paraId="2CF48C20">
      <w:pPr>
        <w:spacing w:line="360" w:lineRule="auto"/>
        <w:jc w:val="center"/>
        <w:outlineLvl w:val="0"/>
        <w:rPr>
          <w:rFonts w:hint="eastAsia" w:ascii="宋体" w:hAnsi="宋体" w:cs="宋体"/>
          <w:b/>
          <w:bCs/>
          <w:highlight w:val="none"/>
        </w:rPr>
      </w:pPr>
      <w:bookmarkStart w:id="160" w:name="_Toc5876"/>
      <w:bookmarkEnd w:id="160"/>
      <w:bookmarkStart w:id="161" w:name="_Toc199794514"/>
      <w:r>
        <w:rPr>
          <w:rFonts w:hint="eastAsia" w:ascii="宋体" w:hAnsi="宋体" w:cs="宋体"/>
          <w:b/>
          <w:bCs/>
          <w:sz w:val="28"/>
          <w:szCs w:val="28"/>
          <w:highlight w:val="none"/>
        </w:rPr>
        <w:t>节能产品认证证书</w:t>
      </w:r>
      <w:bookmarkEnd w:id="161"/>
    </w:p>
    <w:p w14:paraId="3CB078EC">
      <w:pPr>
        <w:spacing w:line="360" w:lineRule="auto"/>
        <w:rPr>
          <w:rFonts w:hint="eastAsia" w:ascii="宋体" w:hAnsi="宋体" w:cs="宋体"/>
          <w:highlight w:val="none"/>
        </w:rPr>
      </w:pPr>
      <w:r>
        <w:rPr>
          <w:rFonts w:hint="eastAsia" w:ascii="宋体" w:hAnsi="宋体" w:cs="宋体"/>
          <w:highlight w:val="none"/>
        </w:rPr>
        <w:t>（提供国家确定的认证机构出具的、处于有效期之内的产品认证证书）</w:t>
      </w:r>
    </w:p>
    <w:p w14:paraId="591BD2A5">
      <w:pPr>
        <w:spacing w:line="360" w:lineRule="auto"/>
        <w:rPr>
          <w:rFonts w:hint="eastAsia" w:ascii="宋体" w:hAnsi="宋体" w:cs="宋体"/>
          <w:b/>
          <w:bCs/>
          <w:highlight w:val="none"/>
        </w:rPr>
      </w:pPr>
      <w:r>
        <w:rPr>
          <w:rFonts w:hint="eastAsia" w:ascii="宋体" w:hAnsi="宋体" w:cs="宋体"/>
          <w:b/>
          <w:bCs/>
          <w:highlight w:val="none"/>
        </w:rPr>
        <w:t xml:space="preserve"> </w:t>
      </w:r>
    </w:p>
    <w:p w14:paraId="1B6CE6C6">
      <w:pPr>
        <w:spacing w:line="360" w:lineRule="auto"/>
        <w:rPr>
          <w:rFonts w:hint="eastAsia" w:ascii="宋体" w:hAnsi="宋体" w:cs="宋体"/>
          <w:b/>
          <w:bCs/>
          <w:highlight w:val="none"/>
        </w:rPr>
      </w:pPr>
      <w:r>
        <w:rPr>
          <w:rFonts w:hint="eastAsia" w:ascii="宋体" w:hAnsi="宋体" w:cs="宋体"/>
          <w:b/>
          <w:bCs/>
          <w:highlight w:val="none"/>
        </w:rPr>
        <w:t xml:space="preserve"> </w:t>
      </w:r>
    </w:p>
    <w:p w14:paraId="3BDE03CF">
      <w:pPr>
        <w:spacing w:line="360" w:lineRule="auto"/>
        <w:rPr>
          <w:rFonts w:hint="eastAsia" w:ascii="宋体" w:hAnsi="宋体" w:cs="宋体"/>
          <w:b/>
          <w:bCs/>
          <w:highlight w:val="none"/>
        </w:rPr>
      </w:pPr>
      <w:r>
        <w:rPr>
          <w:rFonts w:hint="eastAsia" w:ascii="宋体" w:hAnsi="宋体" w:cs="宋体"/>
          <w:b/>
          <w:bCs/>
          <w:highlight w:val="none"/>
        </w:rPr>
        <w:t xml:space="preserve"> </w:t>
      </w:r>
    </w:p>
    <w:p w14:paraId="4F44F9C9">
      <w:pPr>
        <w:spacing w:line="360" w:lineRule="auto"/>
        <w:rPr>
          <w:rFonts w:hint="eastAsia" w:ascii="宋体" w:hAnsi="宋体" w:cs="宋体"/>
          <w:b/>
          <w:bCs/>
          <w:highlight w:val="none"/>
        </w:rPr>
      </w:pPr>
      <w:r>
        <w:rPr>
          <w:rFonts w:hint="eastAsia" w:ascii="宋体" w:hAnsi="宋体" w:cs="宋体"/>
          <w:b/>
          <w:bCs/>
          <w:highlight w:val="none"/>
        </w:rPr>
        <w:t xml:space="preserve"> </w:t>
      </w:r>
    </w:p>
    <w:p w14:paraId="242F68D7">
      <w:pPr>
        <w:spacing w:line="360" w:lineRule="auto"/>
        <w:rPr>
          <w:rFonts w:hint="eastAsia" w:ascii="宋体" w:hAnsi="宋体" w:cs="宋体"/>
          <w:b/>
          <w:bCs/>
          <w:highlight w:val="none"/>
        </w:rPr>
      </w:pPr>
      <w:r>
        <w:rPr>
          <w:rFonts w:hint="eastAsia" w:ascii="宋体" w:hAnsi="宋体" w:cs="宋体"/>
          <w:b/>
          <w:bCs/>
          <w:highlight w:val="none"/>
        </w:rPr>
        <w:t xml:space="preserve"> </w:t>
      </w:r>
    </w:p>
    <w:p w14:paraId="49D5CB42">
      <w:pPr>
        <w:spacing w:line="360" w:lineRule="auto"/>
        <w:jc w:val="center"/>
        <w:outlineLvl w:val="0"/>
        <w:rPr>
          <w:rFonts w:hint="eastAsia" w:ascii="宋体" w:hAnsi="宋体" w:cs="宋体"/>
          <w:b/>
          <w:bCs/>
          <w:highlight w:val="none"/>
        </w:rPr>
      </w:pPr>
      <w:bookmarkStart w:id="162" w:name="_Toc16386"/>
      <w:bookmarkEnd w:id="162"/>
      <w:bookmarkStart w:id="163" w:name="_Toc199794515"/>
      <w:r>
        <w:rPr>
          <w:rFonts w:hint="eastAsia" w:ascii="宋体" w:hAnsi="宋体" w:cs="宋体"/>
          <w:b/>
          <w:bCs/>
          <w:sz w:val="28"/>
          <w:szCs w:val="28"/>
          <w:highlight w:val="none"/>
        </w:rPr>
        <w:t>环境标志产品认证证书</w:t>
      </w:r>
      <w:bookmarkEnd w:id="163"/>
    </w:p>
    <w:p w14:paraId="29E383EF">
      <w:pPr>
        <w:spacing w:line="360" w:lineRule="auto"/>
        <w:rPr>
          <w:rFonts w:hint="eastAsia" w:ascii="宋体" w:hAnsi="宋体" w:cs="宋体"/>
          <w:highlight w:val="none"/>
        </w:rPr>
      </w:pPr>
      <w:r>
        <w:rPr>
          <w:rFonts w:hint="eastAsia" w:ascii="宋体" w:hAnsi="宋体" w:cs="宋体"/>
          <w:highlight w:val="none"/>
        </w:rPr>
        <w:t>（提供国家确定的认证机构出具的、处于有效期之内的产品认证证书）</w:t>
      </w:r>
    </w:p>
    <w:p w14:paraId="18494350">
      <w:pPr>
        <w:spacing w:line="360" w:lineRule="auto"/>
        <w:rPr>
          <w:rFonts w:hint="eastAsia" w:ascii="宋体" w:hAnsi="宋体" w:cs="宋体"/>
          <w:b/>
          <w:bCs/>
          <w:highlight w:val="none"/>
        </w:rPr>
      </w:pPr>
      <w:r>
        <w:rPr>
          <w:rFonts w:hint="eastAsia" w:ascii="宋体" w:hAnsi="宋体" w:cs="宋体"/>
          <w:b/>
          <w:bCs/>
          <w:highlight w:val="none"/>
        </w:rPr>
        <w:t xml:space="preserve"> </w:t>
      </w:r>
    </w:p>
    <w:p w14:paraId="4DA82595">
      <w:pPr>
        <w:spacing w:line="360" w:lineRule="auto"/>
        <w:rPr>
          <w:rFonts w:hint="eastAsia" w:ascii="宋体" w:hAnsi="宋体" w:cs="宋体"/>
          <w:b/>
          <w:bCs/>
          <w:highlight w:val="none"/>
        </w:rPr>
      </w:pPr>
      <w:r>
        <w:rPr>
          <w:rFonts w:hint="eastAsia" w:ascii="宋体" w:hAnsi="宋体" w:cs="宋体"/>
          <w:b/>
          <w:bCs/>
          <w:highlight w:val="none"/>
        </w:rPr>
        <w:t xml:space="preserve"> </w:t>
      </w:r>
    </w:p>
    <w:p w14:paraId="46B6B6F2">
      <w:pPr>
        <w:spacing w:line="360" w:lineRule="auto"/>
        <w:rPr>
          <w:rFonts w:hint="eastAsia" w:ascii="宋体" w:hAnsi="宋体" w:cs="宋体"/>
          <w:b/>
          <w:bCs/>
          <w:highlight w:val="none"/>
        </w:rPr>
      </w:pPr>
      <w:r>
        <w:rPr>
          <w:rFonts w:hint="eastAsia" w:ascii="宋体" w:hAnsi="宋体" w:cs="宋体"/>
          <w:b/>
          <w:bCs/>
          <w:highlight w:val="none"/>
        </w:rPr>
        <w:t xml:space="preserve"> </w:t>
      </w:r>
    </w:p>
    <w:p w14:paraId="6A953861">
      <w:pPr>
        <w:spacing w:line="360" w:lineRule="auto"/>
        <w:rPr>
          <w:rFonts w:hint="eastAsia" w:ascii="宋体" w:hAnsi="宋体" w:cs="宋体"/>
          <w:b/>
          <w:bCs/>
          <w:highlight w:val="none"/>
        </w:rPr>
      </w:pPr>
      <w:r>
        <w:rPr>
          <w:rFonts w:hint="eastAsia" w:ascii="宋体" w:hAnsi="宋体" w:cs="宋体"/>
          <w:b/>
          <w:bCs/>
          <w:highlight w:val="none"/>
        </w:rPr>
        <w:t xml:space="preserve"> </w:t>
      </w:r>
    </w:p>
    <w:p w14:paraId="79A0D29A">
      <w:pPr>
        <w:spacing w:line="360" w:lineRule="auto"/>
        <w:rPr>
          <w:rFonts w:hint="eastAsia" w:ascii="宋体" w:hAnsi="宋体" w:cs="宋体"/>
          <w:b/>
          <w:bCs/>
          <w:highlight w:val="none"/>
        </w:rPr>
      </w:pPr>
      <w:r>
        <w:rPr>
          <w:rFonts w:hint="eastAsia" w:ascii="宋体" w:hAnsi="宋体" w:cs="宋体"/>
          <w:b/>
          <w:bCs/>
          <w:highlight w:val="none"/>
        </w:rPr>
        <w:t xml:space="preserve"> </w:t>
      </w:r>
    </w:p>
    <w:p w14:paraId="29BC5755">
      <w:pPr>
        <w:spacing w:line="360" w:lineRule="auto"/>
        <w:jc w:val="center"/>
        <w:outlineLvl w:val="0"/>
        <w:rPr>
          <w:rFonts w:hint="eastAsia" w:ascii="宋体" w:hAnsi="宋体" w:cs="宋体"/>
          <w:b/>
          <w:bCs/>
          <w:sz w:val="28"/>
          <w:szCs w:val="28"/>
          <w:highlight w:val="none"/>
        </w:rPr>
      </w:pPr>
      <w:bookmarkStart w:id="164" w:name="_Toc1060"/>
      <w:bookmarkEnd w:id="164"/>
      <w:bookmarkStart w:id="165" w:name="_Toc199794516"/>
      <w:r>
        <w:rPr>
          <w:rFonts w:hint="eastAsia" w:ascii="宋体" w:hAnsi="宋体" w:cs="宋体"/>
          <w:b/>
          <w:bCs/>
          <w:sz w:val="28"/>
          <w:szCs w:val="28"/>
          <w:highlight w:val="none"/>
        </w:rPr>
        <w:t>进口产品转让技术、消化吸收再创新方案</w:t>
      </w:r>
      <w:bookmarkEnd w:id="165"/>
    </w:p>
    <w:p w14:paraId="396F153F">
      <w:pPr>
        <w:spacing w:line="360" w:lineRule="auto"/>
        <w:rPr>
          <w:rFonts w:hint="eastAsia" w:ascii="宋体" w:hAnsi="宋体" w:cs="宋体"/>
          <w:highlight w:val="none"/>
        </w:rPr>
      </w:pPr>
      <w:r>
        <w:rPr>
          <w:rFonts w:hint="eastAsia" w:ascii="宋体" w:hAnsi="宋体" w:cs="宋体"/>
          <w:highlight w:val="none"/>
        </w:rPr>
        <w:t>（对于允许进口产品参加的项目）</w:t>
      </w:r>
    </w:p>
    <w:p w14:paraId="758EE2A8">
      <w:pPr>
        <w:widowControl/>
        <w:jc w:val="left"/>
        <w:rPr>
          <w:rFonts w:hint="eastAsia" w:ascii="宋体" w:hAnsi="宋体" w:cs="宋体"/>
          <w:b/>
          <w:sz w:val="32"/>
          <w:szCs w:val="24"/>
          <w:highlight w:val="none"/>
        </w:rPr>
      </w:pPr>
      <w:bookmarkStart w:id="166" w:name="_Toc16234"/>
      <w:bookmarkStart w:id="167" w:name="_Toc514054497"/>
      <w:r>
        <w:rPr>
          <w:rFonts w:hint="eastAsia" w:ascii="宋体" w:hAnsi="宋体" w:cs="宋体"/>
          <w:highlight w:val="none"/>
        </w:rPr>
        <w:br w:type="page"/>
      </w:r>
    </w:p>
    <w:p w14:paraId="059A3FE5">
      <w:pPr>
        <w:pStyle w:val="509"/>
        <w:outlineLvl w:val="1"/>
        <w:rPr>
          <w:rFonts w:hint="eastAsia" w:ascii="宋体" w:hAnsi="宋体" w:eastAsia="宋体" w:cs="宋体"/>
          <w:highlight w:val="none"/>
        </w:rPr>
      </w:pPr>
      <w:bookmarkStart w:id="168" w:name="_Toc199794517"/>
      <w:r>
        <w:rPr>
          <w:rFonts w:hint="eastAsia" w:ascii="宋体" w:hAnsi="宋体" w:eastAsia="宋体" w:cs="宋体"/>
          <w:highlight w:val="none"/>
        </w:rPr>
        <w:t>十三、响应偏差表</w:t>
      </w:r>
      <w:bookmarkEnd w:id="166"/>
      <w:bookmarkEnd w:id="167"/>
      <w:bookmarkEnd w:id="168"/>
    </w:p>
    <w:p w14:paraId="0991E739">
      <w:pPr>
        <w:pStyle w:val="321"/>
        <w:jc w:val="center"/>
        <w:rPr>
          <w:rFonts w:hint="eastAsia" w:ascii="宋体" w:hAnsi="宋体" w:cs="宋体"/>
          <w:sz w:val="32"/>
          <w:szCs w:val="32"/>
          <w:highlight w:val="none"/>
        </w:rPr>
      </w:pPr>
      <w:bookmarkStart w:id="169" w:name="_Toc29509_WPSOffice_Level2"/>
      <w:r>
        <w:rPr>
          <w:rFonts w:hint="eastAsia" w:ascii="宋体" w:hAnsi="宋体" w:cs="宋体"/>
          <w:sz w:val="32"/>
          <w:szCs w:val="32"/>
          <w:highlight w:val="none"/>
        </w:rPr>
        <w:t>（一）投标技术响应偏差表</w:t>
      </w:r>
      <w:bookmarkEnd w:id="169"/>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351"/>
        <w:gridCol w:w="2601"/>
        <w:gridCol w:w="2765"/>
      </w:tblGrid>
      <w:tr w14:paraId="0E657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3D601D92">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序号</w:t>
            </w:r>
          </w:p>
        </w:tc>
        <w:tc>
          <w:tcPr>
            <w:tcW w:w="2351" w:type="dxa"/>
            <w:vAlign w:val="center"/>
          </w:tcPr>
          <w:p w14:paraId="2B5B35CB">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招标文件内容</w:t>
            </w:r>
          </w:p>
        </w:tc>
        <w:tc>
          <w:tcPr>
            <w:tcW w:w="2601" w:type="dxa"/>
            <w:vAlign w:val="center"/>
          </w:tcPr>
          <w:p w14:paraId="652B78B9">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投标文件内容</w:t>
            </w:r>
          </w:p>
        </w:tc>
        <w:tc>
          <w:tcPr>
            <w:tcW w:w="2765" w:type="dxa"/>
            <w:vAlign w:val="center"/>
          </w:tcPr>
          <w:p w14:paraId="4FC33217">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偏差内容及说明</w:t>
            </w:r>
          </w:p>
        </w:tc>
      </w:tr>
      <w:tr w14:paraId="27B68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4A81704">
            <w:pPr>
              <w:pStyle w:val="321"/>
              <w:spacing w:line="560" w:lineRule="exact"/>
              <w:jc w:val="center"/>
              <w:rPr>
                <w:rFonts w:hint="eastAsia" w:ascii="宋体" w:hAnsi="宋体" w:cs="宋体"/>
                <w:sz w:val="24"/>
                <w:highlight w:val="none"/>
              </w:rPr>
            </w:pPr>
          </w:p>
        </w:tc>
        <w:tc>
          <w:tcPr>
            <w:tcW w:w="2351" w:type="dxa"/>
            <w:vAlign w:val="center"/>
          </w:tcPr>
          <w:p w14:paraId="1F87E5E6">
            <w:pPr>
              <w:pStyle w:val="321"/>
              <w:spacing w:line="560" w:lineRule="exact"/>
              <w:jc w:val="center"/>
              <w:rPr>
                <w:rFonts w:hint="eastAsia" w:ascii="宋体" w:hAnsi="宋体" w:cs="宋体"/>
                <w:sz w:val="24"/>
                <w:highlight w:val="none"/>
              </w:rPr>
            </w:pPr>
          </w:p>
        </w:tc>
        <w:tc>
          <w:tcPr>
            <w:tcW w:w="2601" w:type="dxa"/>
            <w:vAlign w:val="center"/>
          </w:tcPr>
          <w:p w14:paraId="3B8B5C2E">
            <w:pPr>
              <w:pStyle w:val="321"/>
              <w:spacing w:line="560" w:lineRule="exact"/>
              <w:jc w:val="center"/>
              <w:rPr>
                <w:rFonts w:hint="eastAsia" w:ascii="宋体" w:hAnsi="宋体" w:cs="宋体"/>
                <w:sz w:val="24"/>
                <w:highlight w:val="none"/>
              </w:rPr>
            </w:pPr>
          </w:p>
        </w:tc>
        <w:tc>
          <w:tcPr>
            <w:tcW w:w="2765" w:type="dxa"/>
            <w:vAlign w:val="center"/>
          </w:tcPr>
          <w:p w14:paraId="6C5C3051">
            <w:pPr>
              <w:pStyle w:val="321"/>
              <w:spacing w:line="560" w:lineRule="exact"/>
              <w:jc w:val="center"/>
              <w:rPr>
                <w:rFonts w:hint="eastAsia" w:ascii="宋体" w:hAnsi="宋体" w:cs="宋体"/>
                <w:sz w:val="24"/>
                <w:highlight w:val="none"/>
              </w:rPr>
            </w:pPr>
          </w:p>
        </w:tc>
      </w:tr>
      <w:tr w14:paraId="26856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20FCE83D">
            <w:pPr>
              <w:pStyle w:val="321"/>
              <w:spacing w:line="560" w:lineRule="exact"/>
              <w:jc w:val="center"/>
              <w:rPr>
                <w:rFonts w:hint="eastAsia" w:ascii="宋体" w:hAnsi="宋体" w:cs="宋体"/>
                <w:sz w:val="24"/>
                <w:highlight w:val="none"/>
              </w:rPr>
            </w:pPr>
          </w:p>
        </w:tc>
        <w:tc>
          <w:tcPr>
            <w:tcW w:w="2351" w:type="dxa"/>
            <w:vAlign w:val="center"/>
          </w:tcPr>
          <w:p w14:paraId="216637D7">
            <w:pPr>
              <w:pStyle w:val="321"/>
              <w:spacing w:line="560" w:lineRule="exact"/>
              <w:jc w:val="center"/>
              <w:rPr>
                <w:rFonts w:hint="eastAsia" w:ascii="宋体" w:hAnsi="宋体" w:cs="宋体"/>
                <w:sz w:val="24"/>
                <w:highlight w:val="none"/>
              </w:rPr>
            </w:pPr>
          </w:p>
        </w:tc>
        <w:tc>
          <w:tcPr>
            <w:tcW w:w="2601" w:type="dxa"/>
            <w:vAlign w:val="center"/>
          </w:tcPr>
          <w:p w14:paraId="6978F81D">
            <w:pPr>
              <w:pStyle w:val="321"/>
              <w:spacing w:line="560" w:lineRule="exact"/>
              <w:jc w:val="center"/>
              <w:rPr>
                <w:rFonts w:hint="eastAsia" w:ascii="宋体" w:hAnsi="宋体" w:cs="宋体"/>
                <w:sz w:val="24"/>
                <w:highlight w:val="none"/>
              </w:rPr>
            </w:pPr>
          </w:p>
        </w:tc>
        <w:tc>
          <w:tcPr>
            <w:tcW w:w="2765" w:type="dxa"/>
            <w:vAlign w:val="center"/>
          </w:tcPr>
          <w:p w14:paraId="60D35589">
            <w:pPr>
              <w:pStyle w:val="321"/>
              <w:spacing w:line="560" w:lineRule="exact"/>
              <w:jc w:val="center"/>
              <w:rPr>
                <w:rFonts w:hint="eastAsia" w:ascii="宋体" w:hAnsi="宋体" w:cs="宋体"/>
                <w:sz w:val="24"/>
                <w:highlight w:val="none"/>
              </w:rPr>
            </w:pPr>
          </w:p>
        </w:tc>
      </w:tr>
      <w:tr w14:paraId="13D72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63E73F5">
            <w:pPr>
              <w:pStyle w:val="321"/>
              <w:spacing w:line="560" w:lineRule="exact"/>
              <w:jc w:val="center"/>
              <w:rPr>
                <w:rFonts w:hint="eastAsia" w:ascii="宋体" w:hAnsi="宋体" w:cs="宋体"/>
                <w:sz w:val="24"/>
                <w:highlight w:val="none"/>
              </w:rPr>
            </w:pPr>
          </w:p>
        </w:tc>
        <w:tc>
          <w:tcPr>
            <w:tcW w:w="2351" w:type="dxa"/>
            <w:vAlign w:val="center"/>
          </w:tcPr>
          <w:p w14:paraId="04F35DB1">
            <w:pPr>
              <w:pStyle w:val="321"/>
              <w:spacing w:line="560" w:lineRule="exact"/>
              <w:jc w:val="center"/>
              <w:rPr>
                <w:rFonts w:hint="eastAsia" w:ascii="宋体" w:hAnsi="宋体" w:cs="宋体"/>
                <w:sz w:val="24"/>
                <w:highlight w:val="none"/>
              </w:rPr>
            </w:pPr>
          </w:p>
        </w:tc>
        <w:tc>
          <w:tcPr>
            <w:tcW w:w="2601" w:type="dxa"/>
            <w:vAlign w:val="center"/>
          </w:tcPr>
          <w:p w14:paraId="075E010F">
            <w:pPr>
              <w:pStyle w:val="321"/>
              <w:spacing w:line="560" w:lineRule="exact"/>
              <w:jc w:val="center"/>
              <w:rPr>
                <w:rFonts w:hint="eastAsia" w:ascii="宋体" w:hAnsi="宋体" w:cs="宋体"/>
                <w:sz w:val="24"/>
                <w:highlight w:val="none"/>
              </w:rPr>
            </w:pPr>
          </w:p>
        </w:tc>
        <w:tc>
          <w:tcPr>
            <w:tcW w:w="2765" w:type="dxa"/>
            <w:vAlign w:val="center"/>
          </w:tcPr>
          <w:p w14:paraId="3C5B40F1">
            <w:pPr>
              <w:pStyle w:val="321"/>
              <w:spacing w:line="560" w:lineRule="exact"/>
              <w:jc w:val="center"/>
              <w:rPr>
                <w:rFonts w:hint="eastAsia" w:ascii="宋体" w:hAnsi="宋体" w:cs="宋体"/>
                <w:sz w:val="24"/>
                <w:highlight w:val="none"/>
              </w:rPr>
            </w:pPr>
          </w:p>
        </w:tc>
      </w:tr>
      <w:tr w14:paraId="7B994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3F588CD3">
            <w:pPr>
              <w:pStyle w:val="321"/>
              <w:spacing w:line="560" w:lineRule="exact"/>
              <w:jc w:val="center"/>
              <w:rPr>
                <w:rFonts w:hint="eastAsia" w:ascii="宋体" w:hAnsi="宋体" w:cs="宋体"/>
                <w:sz w:val="24"/>
                <w:highlight w:val="none"/>
              </w:rPr>
            </w:pPr>
          </w:p>
        </w:tc>
        <w:tc>
          <w:tcPr>
            <w:tcW w:w="2351" w:type="dxa"/>
            <w:vAlign w:val="center"/>
          </w:tcPr>
          <w:p w14:paraId="431F4AAD">
            <w:pPr>
              <w:pStyle w:val="321"/>
              <w:spacing w:line="560" w:lineRule="exact"/>
              <w:jc w:val="center"/>
              <w:rPr>
                <w:rFonts w:hint="eastAsia" w:ascii="宋体" w:hAnsi="宋体" w:cs="宋体"/>
                <w:sz w:val="24"/>
                <w:highlight w:val="none"/>
              </w:rPr>
            </w:pPr>
          </w:p>
        </w:tc>
        <w:tc>
          <w:tcPr>
            <w:tcW w:w="2601" w:type="dxa"/>
            <w:vAlign w:val="center"/>
          </w:tcPr>
          <w:p w14:paraId="2280A864">
            <w:pPr>
              <w:pStyle w:val="321"/>
              <w:spacing w:line="560" w:lineRule="exact"/>
              <w:jc w:val="center"/>
              <w:rPr>
                <w:rFonts w:hint="eastAsia" w:ascii="宋体" w:hAnsi="宋体" w:cs="宋体"/>
                <w:sz w:val="24"/>
                <w:highlight w:val="none"/>
              </w:rPr>
            </w:pPr>
          </w:p>
        </w:tc>
        <w:tc>
          <w:tcPr>
            <w:tcW w:w="2765" w:type="dxa"/>
            <w:vAlign w:val="center"/>
          </w:tcPr>
          <w:p w14:paraId="3CC8BA21">
            <w:pPr>
              <w:pStyle w:val="321"/>
              <w:spacing w:line="560" w:lineRule="exact"/>
              <w:jc w:val="center"/>
              <w:rPr>
                <w:rFonts w:hint="eastAsia" w:ascii="宋体" w:hAnsi="宋体" w:cs="宋体"/>
                <w:sz w:val="24"/>
                <w:highlight w:val="none"/>
              </w:rPr>
            </w:pPr>
          </w:p>
        </w:tc>
      </w:tr>
      <w:tr w14:paraId="3E4DA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258C63A">
            <w:pPr>
              <w:pStyle w:val="321"/>
              <w:spacing w:line="560" w:lineRule="exact"/>
              <w:jc w:val="center"/>
              <w:rPr>
                <w:rFonts w:hint="eastAsia" w:ascii="宋体" w:hAnsi="宋体" w:cs="宋体"/>
                <w:sz w:val="24"/>
                <w:highlight w:val="none"/>
              </w:rPr>
            </w:pPr>
          </w:p>
        </w:tc>
        <w:tc>
          <w:tcPr>
            <w:tcW w:w="2351" w:type="dxa"/>
            <w:vAlign w:val="center"/>
          </w:tcPr>
          <w:p w14:paraId="62B978E8">
            <w:pPr>
              <w:pStyle w:val="321"/>
              <w:spacing w:line="560" w:lineRule="exact"/>
              <w:jc w:val="center"/>
              <w:rPr>
                <w:rFonts w:hint="eastAsia" w:ascii="宋体" w:hAnsi="宋体" w:cs="宋体"/>
                <w:sz w:val="24"/>
                <w:highlight w:val="none"/>
              </w:rPr>
            </w:pPr>
          </w:p>
        </w:tc>
        <w:tc>
          <w:tcPr>
            <w:tcW w:w="2601" w:type="dxa"/>
            <w:vAlign w:val="center"/>
          </w:tcPr>
          <w:p w14:paraId="00605452">
            <w:pPr>
              <w:pStyle w:val="321"/>
              <w:spacing w:line="560" w:lineRule="exact"/>
              <w:jc w:val="center"/>
              <w:rPr>
                <w:rFonts w:hint="eastAsia" w:ascii="宋体" w:hAnsi="宋体" w:cs="宋体"/>
                <w:sz w:val="24"/>
                <w:highlight w:val="none"/>
              </w:rPr>
            </w:pPr>
          </w:p>
        </w:tc>
        <w:tc>
          <w:tcPr>
            <w:tcW w:w="2765" w:type="dxa"/>
            <w:vAlign w:val="center"/>
          </w:tcPr>
          <w:p w14:paraId="0A8F80D2">
            <w:pPr>
              <w:pStyle w:val="321"/>
              <w:spacing w:line="560" w:lineRule="exact"/>
              <w:jc w:val="center"/>
              <w:rPr>
                <w:rFonts w:hint="eastAsia" w:ascii="宋体" w:hAnsi="宋体" w:cs="宋体"/>
                <w:sz w:val="24"/>
                <w:highlight w:val="none"/>
              </w:rPr>
            </w:pPr>
          </w:p>
        </w:tc>
      </w:tr>
      <w:tr w14:paraId="69463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305D24C">
            <w:pPr>
              <w:pStyle w:val="321"/>
              <w:spacing w:line="560" w:lineRule="exact"/>
              <w:jc w:val="center"/>
              <w:rPr>
                <w:rFonts w:hint="eastAsia" w:ascii="宋体" w:hAnsi="宋体" w:cs="宋体"/>
                <w:sz w:val="24"/>
                <w:highlight w:val="none"/>
              </w:rPr>
            </w:pPr>
          </w:p>
        </w:tc>
        <w:tc>
          <w:tcPr>
            <w:tcW w:w="2351" w:type="dxa"/>
            <w:vAlign w:val="center"/>
          </w:tcPr>
          <w:p w14:paraId="51618BDE">
            <w:pPr>
              <w:pStyle w:val="321"/>
              <w:spacing w:line="560" w:lineRule="exact"/>
              <w:jc w:val="center"/>
              <w:rPr>
                <w:rFonts w:hint="eastAsia" w:ascii="宋体" w:hAnsi="宋体" w:cs="宋体"/>
                <w:sz w:val="24"/>
                <w:highlight w:val="none"/>
              </w:rPr>
            </w:pPr>
          </w:p>
        </w:tc>
        <w:tc>
          <w:tcPr>
            <w:tcW w:w="2601" w:type="dxa"/>
            <w:vAlign w:val="center"/>
          </w:tcPr>
          <w:p w14:paraId="263FB0D2">
            <w:pPr>
              <w:pStyle w:val="321"/>
              <w:spacing w:line="560" w:lineRule="exact"/>
              <w:jc w:val="center"/>
              <w:rPr>
                <w:rFonts w:hint="eastAsia" w:ascii="宋体" w:hAnsi="宋体" w:cs="宋体"/>
                <w:sz w:val="24"/>
                <w:highlight w:val="none"/>
              </w:rPr>
            </w:pPr>
          </w:p>
        </w:tc>
        <w:tc>
          <w:tcPr>
            <w:tcW w:w="2765" w:type="dxa"/>
            <w:vAlign w:val="center"/>
          </w:tcPr>
          <w:p w14:paraId="746F34B7">
            <w:pPr>
              <w:pStyle w:val="321"/>
              <w:spacing w:line="560" w:lineRule="exact"/>
              <w:jc w:val="center"/>
              <w:rPr>
                <w:rFonts w:hint="eastAsia" w:ascii="宋体" w:hAnsi="宋体" w:cs="宋体"/>
                <w:sz w:val="24"/>
                <w:highlight w:val="none"/>
              </w:rPr>
            </w:pPr>
          </w:p>
        </w:tc>
      </w:tr>
      <w:tr w14:paraId="0EAE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564CB6E">
            <w:pPr>
              <w:pStyle w:val="321"/>
              <w:spacing w:line="560" w:lineRule="exact"/>
              <w:jc w:val="center"/>
              <w:rPr>
                <w:rFonts w:hint="eastAsia" w:ascii="宋体" w:hAnsi="宋体" w:cs="宋体"/>
                <w:sz w:val="24"/>
                <w:highlight w:val="none"/>
              </w:rPr>
            </w:pPr>
          </w:p>
        </w:tc>
        <w:tc>
          <w:tcPr>
            <w:tcW w:w="2351" w:type="dxa"/>
            <w:vAlign w:val="center"/>
          </w:tcPr>
          <w:p w14:paraId="46DD19D2">
            <w:pPr>
              <w:pStyle w:val="321"/>
              <w:spacing w:line="560" w:lineRule="exact"/>
              <w:jc w:val="center"/>
              <w:rPr>
                <w:rFonts w:hint="eastAsia" w:ascii="宋体" w:hAnsi="宋体" w:cs="宋体"/>
                <w:sz w:val="24"/>
                <w:highlight w:val="none"/>
              </w:rPr>
            </w:pPr>
          </w:p>
        </w:tc>
        <w:tc>
          <w:tcPr>
            <w:tcW w:w="2601" w:type="dxa"/>
            <w:vAlign w:val="center"/>
          </w:tcPr>
          <w:p w14:paraId="2B34657B">
            <w:pPr>
              <w:pStyle w:val="321"/>
              <w:spacing w:line="560" w:lineRule="exact"/>
              <w:jc w:val="center"/>
              <w:rPr>
                <w:rFonts w:hint="eastAsia" w:ascii="宋体" w:hAnsi="宋体" w:cs="宋体"/>
                <w:sz w:val="24"/>
                <w:highlight w:val="none"/>
              </w:rPr>
            </w:pPr>
          </w:p>
        </w:tc>
        <w:tc>
          <w:tcPr>
            <w:tcW w:w="2765" w:type="dxa"/>
            <w:vAlign w:val="center"/>
          </w:tcPr>
          <w:p w14:paraId="1425F182">
            <w:pPr>
              <w:pStyle w:val="321"/>
              <w:spacing w:line="560" w:lineRule="exact"/>
              <w:jc w:val="center"/>
              <w:rPr>
                <w:rFonts w:hint="eastAsia" w:ascii="宋体" w:hAnsi="宋体" w:cs="宋体"/>
                <w:sz w:val="24"/>
                <w:highlight w:val="none"/>
              </w:rPr>
            </w:pPr>
          </w:p>
        </w:tc>
      </w:tr>
      <w:tr w14:paraId="7736F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26922C8">
            <w:pPr>
              <w:pStyle w:val="321"/>
              <w:spacing w:line="560" w:lineRule="exact"/>
              <w:jc w:val="center"/>
              <w:rPr>
                <w:rFonts w:hint="eastAsia" w:ascii="宋体" w:hAnsi="宋体" w:cs="宋体"/>
                <w:sz w:val="24"/>
                <w:highlight w:val="none"/>
              </w:rPr>
            </w:pPr>
          </w:p>
        </w:tc>
        <w:tc>
          <w:tcPr>
            <w:tcW w:w="2351" w:type="dxa"/>
            <w:vAlign w:val="center"/>
          </w:tcPr>
          <w:p w14:paraId="76684585">
            <w:pPr>
              <w:pStyle w:val="321"/>
              <w:spacing w:line="560" w:lineRule="exact"/>
              <w:jc w:val="center"/>
              <w:rPr>
                <w:rFonts w:hint="eastAsia" w:ascii="宋体" w:hAnsi="宋体" w:cs="宋体"/>
                <w:sz w:val="24"/>
                <w:highlight w:val="none"/>
              </w:rPr>
            </w:pPr>
          </w:p>
        </w:tc>
        <w:tc>
          <w:tcPr>
            <w:tcW w:w="2601" w:type="dxa"/>
            <w:vAlign w:val="center"/>
          </w:tcPr>
          <w:p w14:paraId="193FEA9E">
            <w:pPr>
              <w:pStyle w:val="321"/>
              <w:spacing w:line="560" w:lineRule="exact"/>
              <w:jc w:val="center"/>
              <w:rPr>
                <w:rFonts w:hint="eastAsia" w:ascii="宋体" w:hAnsi="宋体" w:cs="宋体"/>
                <w:sz w:val="24"/>
                <w:highlight w:val="none"/>
              </w:rPr>
            </w:pPr>
          </w:p>
        </w:tc>
        <w:tc>
          <w:tcPr>
            <w:tcW w:w="2765" w:type="dxa"/>
            <w:vAlign w:val="center"/>
          </w:tcPr>
          <w:p w14:paraId="44186712">
            <w:pPr>
              <w:pStyle w:val="321"/>
              <w:spacing w:line="560" w:lineRule="exact"/>
              <w:jc w:val="center"/>
              <w:rPr>
                <w:rFonts w:hint="eastAsia" w:ascii="宋体" w:hAnsi="宋体" w:cs="宋体"/>
                <w:sz w:val="24"/>
                <w:highlight w:val="none"/>
              </w:rPr>
            </w:pPr>
          </w:p>
        </w:tc>
      </w:tr>
      <w:tr w14:paraId="70C10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1280B8A1">
            <w:pPr>
              <w:pStyle w:val="321"/>
              <w:spacing w:line="560" w:lineRule="exact"/>
              <w:jc w:val="center"/>
              <w:rPr>
                <w:rFonts w:hint="eastAsia" w:ascii="宋体" w:hAnsi="宋体" w:cs="宋体"/>
                <w:sz w:val="24"/>
                <w:highlight w:val="none"/>
              </w:rPr>
            </w:pPr>
          </w:p>
        </w:tc>
        <w:tc>
          <w:tcPr>
            <w:tcW w:w="2351" w:type="dxa"/>
            <w:vAlign w:val="center"/>
          </w:tcPr>
          <w:p w14:paraId="6F37B567">
            <w:pPr>
              <w:pStyle w:val="321"/>
              <w:spacing w:line="560" w:lineRule="exact"/>
              <w:jc w:val="center"/>
              <w:rPr>
                <w:rFonts w:hint="eastAsia" w:ascii="宋体" w:hAnsi="宋体" w:cs="宋体"/>
                <w:sz w:val="24"/>
                <w:highlight w:val="none"/>
              </w:rPr>
            </w:pPr>
          </w:p>
        </w:tc>
        <w:tc>
          <w:tcPr>
            <w:tcW w:w="2601" w:type="dxa"/>
            <w:vAlign w:val="center"/>
          </w:tcPr>
          <w:p w14:paraId="4737241B">
            <w:pPr>
              <w:pStyle w:val="321"/>
              <w:spacing w:line="560" w:lineRule="exact"/>
              <w:jc w:val="center"/>
              <w:rPr>
                <w:rFonts w:hint="eastAsia" w:ascii="宋体" w:hAnsi="宋体" w:cs="宋体"/>
                <w:sz w:val="24"/>
                <w:highlight w:val="none"/>
              </w:rPr>
            </w:pPr>
          </w:p>
        </w:tc>
        <w:tc>
          <w:tcPr>
            <w:tcW w:w="2765" w:type="dxa"/>
            <w:vAlign w:val="center"/>
          </w:tcPr>
          <w:p w14:paraId="29710B08">
            <w:pPr>
              <w:pStyle w:val="321"/>
              <w:spacing w:line="560" w:lineRule="exact"/>
              <w:jc w:val="center"/>
              <w:rPr>
                <w:rFonts w:hint="eastAsia" w:ascii="宋体" w:hAnsi="宋体" w:cs="宋体"/>
                <w:sz w:val="24"/>
                <w:highlight w:val="none"/>
              </w:rPr>
            </w:pPr>
          </w:p>
        </w:tc>
      </w:tr>
      <w:tr w14:paraId="0C0AB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1201" w:type="dxa"/>
            <w:vAlign w:val="center"/>
          </w:tcPr>
          <w:p w14:paraId="388214D8">
            <w:pPr>
              <w:pStyle w:val="321"/>
              <w:spacing w:line="560" w:lineRule="exact"/>
              <w:jc w:val="center"/>
              <w:rPr>
                <w:rFonts w:hint="eastAsia" w:ascii="宋体" w:hAnsi="宋体" w:cs="宋体"/>
                <w:sz w:val="24"/>
                <w:highlight w:val="none"/>
              </w:rPr>
            </w:pPr>
          </w:p>
        </w:tc>
        <w:tc>
          <w:tcPr>
            <w:tcW w:w="2351" w:type="dxa"/>
            <w:vAlign w:val="center"/>
          </w:tcPr>
          <w:p w14:paraId="71667AF5">
            <w:pPr>
              <w:pStyle w:val="321"/>
              <w:spacing w:line="560" w:lineRule="exact"/>
              <w:jc w:val="center"/>
              <w:rPr>
                <w:rFonts w:hint="eastAsia" w:ascii="宋体" w:hAnsi="宋体" w:cs="宋体"/>
                <w:sz w:val="24"/>
                <w:highlight w:val="none"/>
              </w:rPr>
            </w:pPr>
          </w:p>
        </w:tc>
        <w:tc>
          <w:tcPr>
            <w:tcW w:w="2601" w:type="dxa"/>
            <w:vAlign w:val="center"/>
          </w:tcPr>
          <w:p w14:paraId="0387F6B4">
            <w:pPr>
              <w:pStyle w:val="321"/>
              <w:spacing w:line="560" w:lineRule="exact"/>
              <w:jc w:val="center"/>
              <w:rPr>
                <w:rFonts w:hint="eastAsia" w:ascii="宋体" w:hAnsi="宋体" w:cs="宋体"/>
                <w:sz w:val="24"/>
                <w:highlight w:val="none"/>
              </w:rPr>
            </w:pPr>
          </w:p>
        </w:tc>
        <w:tc>
          <w:tcPr>
            <w:tcW w:w="2765" w:type="dxa"/>
            <w:vAlign w:val="center"/>
          </w:tcPr>
          <w:p w14:paraId="121007DF">
            <w:pPr>
              <w:pStyle w:val="321"/>
              <w:spacing w:line="560" w:lineRule="exact"/>
              <w:jc w:val="center"/>
              <w:rPr>
                <w:rFonts w:hint="eastAsia" w:ascii="宋体" w:hAnsi="宋体" w:cs="宋体"/>
                <w:sz w:val="24"/>
                <w:highlight w:val="none"/>
              </w:rPr>
            </w:pPr>
          </w:p>
        </w:tc>
      </w:tr>
    </w:tbl>
    <w:p w14:paraId="13146F8E">
      <w:pPr>
        <w:pStyle w:val="321"/>
        <w:jc w:val="center"/>
        <w:rPr>
          <w:rFonts w:hint="eastAsia" w:ascii="宋体" w:hAnsi="宋体" w:cs="宋体"/>
          <w:sz w:val="22"/>
          <w:highlight w:val="none"/>
        </w:rPr>
      </w:pPr>
    </w:p>
    <w:p w14:paraId="120859D4">
      <w:pPr>
        <w:pStyle w:val="382"/>
        <w:spacing w:line="700" w:lineRule="exact"/>
        <w:ind w:firstLine="629"/>
        <w:rPr>
          <w:rFonts w:hint="eastAsia" w:ascii="宋体" w:hAnsi="宋体" w:cs="宋体"/>
          <w:sz w:val="24"/>
          <w:highlight w:val="none"/>
          <w:u w:val="single"/>
        </w:rPr>
      </w:pPr>
      <w:r>
        <w:rPr>
          <w:rFonts w:hint="eastAsia" w:ascii="宋体" w:hAnsi="宋体" w:cs="宋体"/>
          <w:sz w:val="24"/>
          <w:highlight w:val="none"/>
        </w:rPr>
        <w:t>单位名称：（盖章）</w:t>
      </w:r>
      <w:r>
        <w:rPr>
          <w:rFonts w:hint="eastAsia" w:ascii="宋体" w:hAnsi="宋体" w:cs="宋体"/>
          <w:sz w:val="24"/>
          <w:highlight w:val="none"/>
          <w:u w:val="single"/>
        </w:rPr>
        <w:t xml:space="preserve">             </w:t>
      </w:r>
    </w:p>
    <w:p w14:paraId="656AD92E">
      <w:pPr>
        <w:pStyle w:val="382"/>
        <w:spacing w:line="700" w:lineRule="exact"/>
        <w:ind w:firstLine="629"/>
        <w:rPr>
          <w:rFonts w:hint="eastAsia" w:ascii="宋体" w:hAnsi="宋体" w:cs="宋体"/>
          <w:sz w:val="24"/>
          <w:highlight w:val="none"/>
        </w:rPr>
      </w:pPr>
      <w:r>
        <w:rPr>
          <w:rFonts w:hint="eastAsia" w:ascii="宋体" w:hAnsi="宋体" w:cs="宋体"/>
          <w:sz w:val="24"/>
          <w:highlight w:val="none"/>
        </w:rPr>
        <w:t>法定代表人（或授权代表）：（签字或签章）</w:t>
      </w:r>
      <w:r>
        <w:rPr>
          <w:rFonts w:hint="eastAsia" w:ascii="宋体" w:hAnsi="宋体" w:cs="宋体"/>
          <w:sz w:val="24"/>
          <w:highlight w:val="none"/>
          <w:u w:val="single"/>
        </w:rPr>
        <w:t xml:space="preserve">              </w:t>
      </w:r>
    </w:p>
    <w:p w14:paraId="4F1A9845">
      <w:pPr>
        <w:pStyle w:val="320"/>
        <w:ind w:firstLine="482"/>
        <w:rPr>
          <w:rFonts w:hint="eastAsia" w:hAnsi="宋体" w:cs="宋体"/>
          <w:b/>
          <w:bCs/>
          <w:sz w:val="24"/>
          <w:szCs w:val="28"/>
          <w:highlight w:val="none"/>
        </w:rPr>
      </w:pPr>
    </w:p>
    <w:p w14:paraId="4A5071BF">
      <w:pPr>
        <w:pStyle w:val="320"/>
        <w:rPr>
          <w:rFonts w:hint="eastAsia" w:hAnsi="宋体" w:cs="宋体"/>
          <w:b/>
          <w:bCs/>
          <w:sz w:val="24"/>
          <w:szCs w:val="28"/>
          <w:highlight w:val="none"/>
        </w:rPr>
      </w:pPr>
      <w:r>
        <w:rPr>
          <w:rFonts w:hint="eastAsia" w:hAnsi="宋体" w:cs="宋体"/>
          <w:b/>
          <w:bCs/>
          <w:sz w:val="24"/>
          <w:szCs w:val="28"/>
          <w:highlight w:val="none"/>
        </w:rPr>
        <w:t>1、凡投标文件中所投货物或服务与招标文件有偏差的（包括正偏差，负偏差），均应在此表中详细列出并说明理由。第四部分技术要求须逐条应答。</w:t>
      </w:r>
    </w:p>
    <w:p w14:paraId="0B288EB2">
      <w:pPr>
        <w:pStyle w:val="321"/>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2、投标人所投产品如与招标文件要求的规格及配置不一致，则须在上表偏离说明中详细注明。</w:t>
      </w:r>
    </w:p>
    <w:p w14:paraId="2DF70221">
      <w:pPr>
        <w:pStyle w:val="647"/>
        <w:jc w:val="center"/>
        <w:rPr>
          <w:rFonts w:hint="eastAsia" w:ascii="宋体" w:hAnsi="宋体" w:eastAsia="宋体" w:cs="宋体"/>
          <w:highlight w:val="none"/>
        </w:rPr>
      </w:pPr>
    </w:p>
    <w:p w14:paraId="7819800E">
      <w:pPr>
        <w:pStyle w:val="647"/>
        <w:jc w:val="center"/>
        <w:rPr>
          <w:rFonts w:hint="eastAsia" w:ascii="宋体" w:hAnsi="宋体" w:eastAsia="宋体" w:cs="宋体"/>
          <w:highlight w:val="none"/>
        </w:rPr>
      </w:pPr>
    </w:p>
    <w:p w14:paraId="055291A6">
      <w:pPr>
        <w:pStyle w:val="647"/>
        <w:jc w:val="center"/>
        <w:rPr>
          <w:rFonts w:hint="eastAsia" w:ascii="宋体" w:hAnsi="宋体" w:eastAsia="宋体" w:cs="宋体"/>
          <w:highlight w:val="none"/>
        </w:rPr>
      </w:pPr>
    </w:p>
    <w:p w14:paraId="4BAA4AD2">
      <w:pPr>
        <w:pStyle w:val="647"/>
        <w:jc w:val="center"/>
        <w:rPr>
          <w:rFonts w:hint="eastAsia" w:ascii="宋体" w:hAnsi="宋体" w:eastAsia="宋体" w:cs="宋体"/>
          <w:highlight w:val="none"/>
        </w:rPr>
      </w:pPr>
    </w:p>
    <w:p w14:paraId="5F0538FF">
      <w:pPr>
        <w:pStyle w:val="321"/>
        <w:jc w:val="center"/>
        <w:rPr>
          <w:rFonts w:hint="eastAsia" w:ascii="宋体" w:hAnsi="宋体" w:cs="宋体"/>
          <w:sz w:val="32"/>
          <w:szCs w:val="32"/>
          <w:highlight w:val="none"/>
        </w:rPr>
      </w:pPr>
      <w:bookmarkStart w:id="170" w:name="_Toc514054498"/>
      <w:bookmarkStart w:id="171" w:name="_Toc3171_WPSOffice_Level2"/>
      <w:bookmarkStart w:id="172" w:name="_Toc9396"/>
      <w:bookmarkStart w:id="173" w:name="_Toc199794518"/>
      <w:r>
        <w:rPr>
          <w:rFonts w:hint="eastAsia" w:ascii="宋体" w:hAnsi="宋体" w:cs="宋体"/>
          <w:sz w:val="32"/>
          <w:szCs w:val="32"/>
          <w:highlight w:val="none"/>
        </w:rPr>
        <w:t>（二）投标商务偏离表</w:t>
      </w:r>
      <w:bookmarkEnd w:id="170"/>
      <w:bookmarkEnd w:id="171"/>
      <w:bookmarkEnd w:id="172"/>
      <w:bookmarkEnd w:id="173"/>
    </w:p>
    <w:tbl>
      <w:tblPr>
        <w:tblStyle w:val="34"/>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gridCol w:w="1517"/>
      </w:tblGrid>
      <w:tr w14:paraId="58DA7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6687F40">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招标文件内容</w:t>
            </w:r>
          </w:p>
        </w:tc>
        <w:tc>
          <w:tcPr>
            <w:tcW w:w="2682" w:type="dxa"/>
            <w:vAlign w:val="center"/>
          </w:tcPr>
          <w:p w14:paraId="51E6BAAD">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投标文件内容</w:t>
            </w:r>
          </w:p>
        </w:tc>
        <w:tc>
          <w:tcPr>
            <w:tcW w:w="2682" w:type="dxa"/>
            <w:vAlign w:val="center"/>
          </w:tcPr>
          <w:p w14:paraId="1B94656D">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偏差内容及说明</w:t>
            </w:r>
          </w:p>
        </w:tc>
        <w:tc>
          <w:tcPr>
            <w:tcW w:w="1517" w:type="dxa"/>
            <w:vAlign w:val="center"/>
          </w:tcPr>
          <w:p w14:paraId="2703D3A0">
            <w:pPr>
              <w:pStyle w:val="321"/>
              <w:widowControl/>
              <w:spacing w:before="100" w:beforeAutospacing="1" w:line="560" w:lineRule="exact"/>
              <w:jc w:val="center"/>
              <w:rPr>
                <w:rFonts w:hint="eastAsia" w:ascii="宋体" w:hAnsi="宋体" w:cs="宋体"/>
                <w:sz w:val="28"/>
                <w:szCs w:val="28"/>
                <w:highlight w:val="none"/>
              </w:rPr>
            </w:pPr>
            <w:r>
              <w:rPr>
                <w:rFonts w:hint="eastAsia" w:ascii="宋体" w:hAnsi="宋体" w:cs="宋体"/>
                <w:sz w:val="28"/>
                <w:szCs w:val="28"/>
                <w:highlight w:val="none"/>
              </w:rPr>
              <w:t>页码</w:t>
            </w:r>
          </w:p>
        </w:tc>
      </w:tr>
      <w:tr w14:paraId="44E29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4F19B982">
            <w:pPr>
              <w:pStyle w:val="321"/>
              <w:spacing w:line="560" w:lineRule="exact"/>
              <w:jc w:val="center"/>
              <w:rPr>
                <w:rFonts w:hint="eastAsia" w:ascii="宋体" w:hAnsi="宋体" w:cs="宋体"/>
                <w:sz w:val="24"/>
                <w:highlight w:val="none"/>
              </w:rPr>
            </w:pPr>
          </w:p>
        </w:tc>
        <w:tc>
          <w:tcPr>
            <w:tcW w:w="2682" w:type="dxa"/>
            <w:vAlign w:val="center"/>
          </w:tcPr>
          <w:p w14:paraId="28EE8B1E">
            <w:pPr>
              <w:pStyle w:val="321"/>
              <w:spacing w:line="560" w:lineRule="exact"/>
              <w:jc w:val="center"/>
              <w:rPr>
                <w:rFonts w:hint="eastAsia" w:ascii="宋体" w:hAnsi="宋体" w:cs="宋体"/>
                <w:sz w:val="24"/>
                <w:highlight w:val="none"/>
              </w:rPr>
            </w:pPr>
          </w:p>
        </w:tc>
        <w:tc>
          <w:tcPr>
            <w:tcW w:w="2682" w:type="dxa"/>
            <w:vAlign w:val="center"/>
          </w:tcPr>
          <w:p w14:paraId="625BBE09">
            <w:pPr>
              <w:pStyle w:val="321"/>
              <w:spacing w:line="560" w:lineRule="exact"/>
              <w:jc w:val="center"/>
              <w:rPr>
                <w:rFonts w:hint="eastAsia" w:ascii="宋体" w:hAnsi="宋体" w:cs="宋体"/>
                <w:sz w:val="24"/>
                <w:highlight w:val="none"/>
              </w:rPr>
            </w:pPr>
          </w:p>
        </w:tc>
        <w:tc>
          <w:tcPr>
            <w:tcW w:w="1517" w:type="dxa"/>
            <w:vAlign w:val="center"/>
          </w:tcPr>
          <w:p w14:paraId="74964BB0">
            <w:pPr>
              <w:pStyle w:val="321"/>
              <w:spacing w:line="560" w:lineRule="exact"/>
              <w:jc w:val="center"/>
              <w:rPr>
                <w:rFonts w:hint="eastAsia" w:ascii="宋体" w:hAnsi="宋体" w:cs="宋体"/>
                <w:sz w:val="24"/>
                <w:highlight w:val="none"/>
              </w:rPr>
            </w:pPr>
          </w:p>
        </w:tc>
      </w:tr>
      <w:tr w14:paraId="61CD3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440BA4E5">
            <w:pPr>
              <w:pStyle w:val="321"/>
              <w:spacing w:line="560" w:lineRule="exact"/>
              <w:jc w:val="center"/>
              <w:rPr>
                <w:rFonts w:hint="eastAsia" w:ascii="宋体" w:hAnsi="宋体" w:cs="宋体"/>
                <w:sz w:val="24"/>
                <w:highlight w:val="none"/>
              </w:rPr>
            </w:pPr>
          </w:p>
        </w:tc>
        <w:tc>
          <w:tcPr>
            <w:tcW w:w="2682" w:type="dxa"/>
            <w:vAlign w:val="center"/>
          </w:tcPr>
          <w:p w14:paraId="0DC1AB2E">
            <w:pPr>
              <w:pStyle w:val="321"/>
              <w:spacing w:line="560" w:lineRule="exact"/>
              <w:jc w:val="center"/>
              <w:rPr>
                <w:rFonts w:hint="eastAsia" w:ascii="宋体" w:hAnsi="宋体" w:cs="宋体"/>
                <w:sz w:val="24"/>
                <w:highlight w:val="none"/>
              </w:rPr>
            </w:pPr>
          </w:p>
        </w:tc>
        <w:tc>
          <w:tcPr>
            <w:tcW w:w="2682" w:type="dxa"/>
            <w:vAlign w:val="center"/>
          </w:tcPr>
          <w:p w14:paraId="59D0A9D9">
            <w:pPr>
              <w:pStyle w:val="321"/>
              <w:spacing w:line="560" w:lineRule="exact"/>
              <w:jc w:val="center"/>
              <w:rPr>
                <w:rFonts w:hint="eastAsia" w:ascii="宋体" w:hAnsi="宋体" w:cs="宋体"/>
                <w:sz w:val="24"/>
                <w:highlight w:val="none"/>
              </w:rPr>
            </w:pPr>
          </w:p>
        </w:tc>
        <w:tc>
          <w:tcPr>
            <w:tcW w:w="1517" w:type="dxa"/>
            <w:vAlign w:val="center"/>
          </w:tcPr>
          <w:p w14:paraId="3510D521">
            <w:pPr>
              <w:pStyle w:val="321"/>
              <w:spacing w:line="560" w:lineRule="exact"/>
              <w:jc w:val="center"/>
              <w:rPr>
                <w:rFonts w:hint="eastAsia" w:ascii="宋体" w:hAnsi="宋体" w:cs="宋体"/>
                <w:sz w:val="24"/>
                <w:highlight w:val="none"/>
              </w:rPr>
            </w:pPr>
          </w:p>
        </w:tc>
      </w:tr>
      <w:tr w14:paraId="37B0C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7DE8B73">
            <w:pPr>
              <w:pStyle w:val="321"/>
              <w:spacing w:line="560" w:lineRule="exact"/>
              <w:jc w:val="center"/>
              <w:rPr>
                <w:rFonts w:hint="eastAsia" w:ascii="宋体" w:hAnsi="宋体" w:cs="宋体"/>
                <w:sz w:val="24"/>
                <w:highlight w:val="none"/>
              </w:rPr>
            </w:pPr>
          </w:p>
        </w:tc>
        <w:tc>
          <w:tcPr>
            <w:tcW w:w="2682" w:type="dxa"/>
            <w:vAlign w:val="center"/>
          </w:tcPr>
          <w:p w14:paraId="4F986D34">
            <w:pPr>
              <w:pStyle w:val="321"/>
              <w:spacing w:line="560" w:lineRule="exact"/>
              <w:jc w:val="center"/>
              <w:rPr>
                <w:rFonts w:hint="eastAsia" w:ascii="宋体" w:hAnsi="宋体" w:cs="宋体"/>
                <w:sz w:val="24"/>
                <w:highlight w:val="none"/>
              </w:rPr>
            </w:pPr>
          </w:p>
        </w:tc>
        <w:tc>
          <w:tcPr>
            <w:tcW w:w="2682" w:type="dxa"/>
            <w:vAlign w:val="center"/>
          </w:tcPr>
          <w:p w14:paraId="25A24719">
            <w:pPr>
              <w:pStyle w:val="321"/>
              <w:spacing w:line="560" w:lineRule="exact"/>
              <w:jc w:val="center"/>
              <w:rPr>
                <w:rFonts w:hint="eastAsia" w:ascii="宋体" w:hAnsi="宋体" w:cs="宋体"/>
                <w:sz w:val="24"/>
                <w:highlight w:val="none"/>
              </w:rPr>
            </w:pPr>
          </w:p>
        </w:tc>
        <w:tc>
          <w:tcPr>
            <w:tcW w:w="1517" w:type="dxa"/>
            <w:vAlign w:val="center"/>
          </w:tcPr>
          <w:p w14:paraId="5D8E5070">
            <w:pPr>
              <w:pStyle w:val="321"/>
              <w:spacing w:line="560" w:lineRule="exact"/>
              <w:jc w:val="center"/>
              <w:rPr>
                <w:rFonts w:hint="eastAsia" w:ascii="宋体" w:hAnsi="宋体" w:cs="宋体"/>
                <w:sz w:val="24"/>
                <w:highlight w:val="none"/>
              </w:rPr>
            </w:pPr>
          </w:p>
        </w:tc>
      </w:tr>
      <w:tr w14:paraId="78764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3F6B19A">
            <w:pPr>
              <w:pStyle w:val="321"/>
              <w:spacing w:line="560" w:lineRule="exact"/>
              <w:jc w:val="center"/>
              <w:rPr>
                <w:rFonts w:hint="eastAsia" w:ascii="宋体" w:hAnsi="宋体" w:cs="宋体"/>
                <w:sz w:val="24"/>
                <w:highlight w:val="none"/>
              </w:rPr>
            </w:pPr>
          </w:p>
        </w:tc>
        <w:tc>
          <w:tcPr>
            <w:tcW w:w="2682" w:type="dxa"/>
            <w:vAlign w:val="center"/>
          </w:tcPr>
          <w:p w14:paraId="7A081A7D">
            <w:pPr>
              <w:pStyle w:val="321"/>
              <w:spacing w:line="560" w:lineRule="exact"/>
              <w:jc w:val="center"/>
              <w:rPr>
                <w:rFonts w:hint="eastAsia" w:ascii="宋体" w:hAnsi="宋体" w:cs="宋体"/>
                <w:sz w:val="24"/>
                <w:highlight w:val="none"/>
              </w:rPr>
            </w:pPr>
          </w:p>
        </w:tc>
        <w:tc>
          <w:tcPr>
            <w:tcW w:w="2682" w:type="dxa"/>
            <w:vAlign w:val="center"/>
          </w:tcPr>
          <w:p w14:paraId="23ED1A6F">
            <w:pPr>
              <w:pStyle w:val="321"/>
              <w:spacing w:line="560" w:lineRule="exact"/>
              <w:jc w:val="center"/>
              <w:rPr>
                <w:rFonts w:hint="eastAsia" w:ascii="宋体" w:hAnsi="宋体" w:cs="宋体"/>
                <w:sz w:val="24"/>
                <w:highlight w:val="none"/>
              </w:rPr>
            </w:pPr>
          </w:p>
        </w:tc>
        <w:tc>
          <w:tcPr>
            <w:tcW w:w="1517" w:type="dxa"/>
            <w:vAlign w:val="center"/>
          </w:tcPr>
          <w:p w14:paraId="5A1BD2E3">
            <w:pPr>
              <w:pStyle w:val="321"/>
              <w:spacing w:line="560" w:lineRule="exact"/>
              <w:jc w:val="center"/>
              <w:rPr>
                <w:rFonts w:hint="eastAsia" w:ascii="宋体" w:hAnsi="宋体" w:cs="宋体"/>
                <w:sz w:val="24"/>
                <w:highlight w:val="none"/>
              </w:rPr>
            </w:pPr>
          </w:p>
        </w:tc>
      </w:tr>
      <w:tr w14:paraId="4DF5C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BCEFDA6">
            <w:pPr>
              <w:pStyle w:val="321"/>
              <w:spacing w:line="560" w:lineRule="exact"/>
              <w:jc w:val="center"/>
              <w:rPr>
                <w:rFonts w:hint="eastAsia" w:ascii="宋体" w:hAnsi="宋体" w:cs="宋体"/>
                <w:sz w:val="24"/>
                <w:highlight w:val="none"/>
              </w:rPr>
            </w:pPr>
          </w:p>
        </w:tc>
        <w:tc>
          <w:tcPr>
            <w:tcW w:w="2682" w:type="dxa"/>
            <w:vAlign w:val="center"/>
          </w:tcPr>
          <w:p w14:paraId="7EE5A8AF">
            <w:pPr>
              <w:pStyle w:val="321"/>
              <w:spacing w:line="560" w:lineRule="exact"/>
              <w:jc w:val="center"/>
              <w:rPr>
                <w:rFonts w:hint="eastAsia" w:ascii="宋体" w:hAnsi="宋体" w:cs="宋体"/>
                <w:sz w:val="24"/>
                <w:highlight w:val="none"/>
              </w:rPr>
            </w:pPr>
          </w:p>
        </w:tc>
        <w:tc>
          <w:tcPr>
            <w:tcW w:w="2682" w:type="dxa"/>
            <w:vAlign w:val="center"/>
          </w:tcPr>
          <w:p w14:paraId="4B854A9E">
            <w:pPr>
              <w:pStyle w:val="321"/>
              <w:spacing w:line="560" w:lineRule="exact"/>
              <w:jc w:val="center"/>
              <w:rPr>
                <w:rFonts w:hint="eastAsia" w:ascii="宋体" w:hAnsi="宋体" w:cs="宋体"/>
                <w:sz w:val="24"/>
                <w:highlight w:val="none"/>
              </w:rPr>
            </w:pPr>
          </w:p>
        </w:tc>
        <w:tc>
          <w:tcPr>
            <w:tcW w:w="1517" w:type="dxa"/>
            <w:vAlign w:val="center"/>
          </w:tcPr>
          <w:p w14:paraId="538C71C7">
            <w:pPr>
              <w:pStyle w:val="321"/>
              <w:spacing w:line="560" w:lineRule="exact"/>
              <w:jc w:val="center"/>
              <w:rPr>
                <w:rFonts w:hint="eastAsia" w:ascii="宋体" w:hAnsi="宋体" w:cs="宋体"/>
                <w:sz w:val="24"/>
                <w:highlight w:val="none"/>
              </w:rPr>
            </w:pPr>
          </w:p>
        </w:tc>
      </w:tr>
      <w:tr w14:paraId="01F97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9A35E4D">
            <w:pPr>
              <w:pStyle w:val="321"/>
              <w:spacing w:line="560" w:lineRule="exact"/>
              <w:jc w:val="center"/>
              <w:rPr>
                <w:rFonts w:hint="eastAsia" w:ascii="宋体" w:hAnsi="宋体" w:cs="宋体"/>
                <w:sz w:val="24"/>
                <w:highlight w:val="none"/>
              </w:rPr>
            </w:pPr>
          </w:p>
        </w:tc>
        <w:tc>
          <w:tcPr>
            <w:tcW w:w="2682" w:type="dxa"/>
            <w:vAlign w:val="center"/>
          </w:tcPr>
          <w:p w14:paraId="3B65A8E8">
            <w:pPr>
              <w:pStyle w:val="321"/>
              <w:spacing w:line="560" w:lineRule="exact"/>
              <w:jc w:val="center"/>
              <w:rPr>
                <w:rFonts w:hint="eastAsia" w:ascii="宋体" w:hAnsi="宋体" w:cs="宋体"/>
                <w:sz w:val="24"/>
                <w:highlight w:val="none"/>
              </w:rPr>
            </w:pPr>
          </w:p>
        </w:tc>
        <w:tc>
          <w:tcPr>
            <w:tcW w:w="2682" w:type="dxa"/>
            <w:vAlign w:val="center"/>
          </w:tcPr>
          <w:p w14:paraId="460DAC90">
            <w:pPr>
              <w:pStyle w:val="321"/>
              <w:spacing w:line="560" w:lineRule="exact"/>
              <w:jc w:val="center"/>
              <w:rPr>
                <w:rFonts w:hint="eastAsia" w:ascii="宋体" w:hAnsi="宋体" w:cs="宋体"/>
                <w:sz w:val="24"/>
                <w:highlight w:val="none"/>
              </w:rPr>
            </w:pPr>
          </w:p>
        </w:tc>
        <w:tc>
          <w:tcPr>
            <w:tcW w:w="1517" w:type="dxa"/>
            <w:vAlign w:val="center"/>
          </w:tcPr>
          <w:p w14:paraId="15A1F9D0">
            <w:pPr>
              <w:pStyle w:val="321"/>
              <w:spacing w:line="560" w:lineRule="exact"/>
              <w:jc w:val="center"/>
              <w:rPr>
                <w:rFonts w:hint="eastAsia" w:ascii="宋体" w:hAnsi="宋体" w:cs="宋体"/>
                <w:sz w:val="24"/>
                <w:highlight w:val="none"/>
              </w:rPr>
            </w:pPr>
          </w:p>
        </w:tc>
      </w:tr>
      <w:tr w14:paraId="4B877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5969A3A4">
            <w:pPr>
              <w:pStyle w:val="321"/>
              <w:spacing w:line="560" w:lineRule="exact"/>
              <w:jc w:val="center"/>
              <w:rPr>
                <w:rFonts w:hint="eastAsia" w:ascii="宋体" w:hAnsi="宋体" w:cs="宋体"/>
                <w:sz w:val="24"/>
                <w:highlight w:val="none"/>
              </w:rPr>
            </w:pPr>
          </w:p>
        </w:tc>
        <w:tc>
          <w:tcPr>
            <w:tcW w:w="2682" w:type="dxa"/>
            <w:vAlign w:val="center"/>
          </w:tcPr>
          <w:p w14:paraId="44B7C0BE">
            <w:pPr>
              <w:pStyle w:val="321"/>
              <w:spacing w:line="560" w:lineRule="exact"/>
              <w:jc w:val="center"/>
              <w:rPr>
                <w:rFonts w:hint="eastAsia" w:ascii="宋体" w:hAnsi="宋体" w:cs="宋体"/>
                <w:sz w:val="24"/>
                <w:highlight w:val="none"/>
              </w:rPr>
            </w:pPr>
          </w:p>
        </w:tc>
        <w:tc>
          <w:tcPr>
            <w:tcW w:w="2682" w:type="dxa"/>
            <w:vAlign w:val="center"/>
          </w:tcPr>
          <w:p w14:paraId="586A14A9">
            <w:pPr>
              <w:pStyle w:val="321"/>
              <w:spacing w:line="560" w:lineRule="exact"/>
              <w:jc w:val="center"/>
              <w:rPr>
                <w:rFonts w:hint="eastAsia" w:ascii="宋体" w:hAnsi="宋体" w:cs="宋体"/>
                <w:sz w:val="24"/>
                <w:highlight w:val="none"/>
              </w:rPr>
            </w:pPr>
          </w:p>
        </w:tc>
        <w:tc>
          <w:tcPr>
            <w:tcW w:w="1517" w:type="dxa"/>
            <w:vAlign w:val="center"/>
          </w:tcPr>
          <w:p w14:paraId="78A776DA">
            <w:pPr>
              <w:pStyle w:val="321"/>
              <w:spacing w:line="560" w:lineRule="exact"/>
              <w:jc w:val="center"/>
              <w:rPr>
                <w:rFonts w:hint="eastAsia" w:ascii="宋体" w:hAnsi="宋体" w:cs="宋体"/>
                <w:sz w:val="24"/>
                <w:highlight w:val="none"/>
              </w:rPr>
            </w:pPr>
          </w:p>
        </w:tc>
      </w:tr>
      <w:tr w14:paraId="3A0EF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264AC6DC">
            <w:pPr>
              <w:pStyle w:val="321"/>
              <w:spacing w:line="560" w:lineRule="exact"/>
              <w:jc w:val="center"/>
              <w:rPr>
                <w:rFonts w:hint="eastAsia" w:ascii="宋体" w:hAnsi="宋体" w:cs="宋体"/>
                <w:sz w:val="24"/>
                <w:highlight w:val="none"/>
              </w:rPr>
            </w:pPr>
          </w:p>
        </w:tc>
        <w:tc>
          <w:tcPr>
            <w:tcW w:w="2682" w:type="dxa"/>
            <w:vAlign w:val="center"/>
          </w:tcPr>
          <w:p w14:paraId="1DBBB0DA">
            <w:pPr>
              <w:pStyle w:val="321"/>
              <w:spacing w:line="560" w:lineRule="exact"/>
              <w:jc w:val="center"/>
              <w:rPr>
                <w:rFonts w:hint="eastAsia" w:ascii="宋体" w:hAnsi="宋体" w:cs="宋体"/>
                <w:sz w:val="24"/>
                <w:highlight w:val="none"/>
              </w:rPr>
            </w:pPr>
          </w:p>
        </w:tc>
        <w:tc>
          <w:tcPr>
            <w:tcW w:w="2682" w:type="dxa"/>
            <w:vAlign w:val="center"/>
          </w:tcPr>
          <w:p w14:paraId="447C673F">
            <w:pPr>
              <w:pStyle w:val="321"/>
              <w:spacing w:line="560" w:lineRule="exact"/>
              <w:jc w:val="center"/>
              <w:rPr>
                <w:rFonts w:hint="eastAsia" w:ascii="宋体" w:hAnsi="宋体" w:cs="宋体"/>
                <w:sz w:val="24"/>
                <w:highlight w:val="none"/>
              </w:rPr>
            </w:pPr>
          </w:p>
        </w:tc>
        <w:tc>
          <w:tcPr>
            <w:tcW w:w="1517" w:type="dxa"/>
            <w:vAlign w:val="center"/>
          </w:tcPr>
          <w:p w14:paraId="7391C3BC">
            <w:pPr>
              <w:pStyle w:val="321"/>
              <w:spacing w:line="560" w:lineRule="exact"/>
              <w:jc w:val="center"/>
              <w:rPr>
                <w:rFonts w:hint="eastAsia" w:ascii="宋体" w:hAnsi="宋体" w:cs="宋体"/>
                <w:sz w:val="24"/>
                <w:highlight w:val="none"/>
              </w:rPr>
            </w:pPr>
          </w:p>
        </w:tc>
      </w:tr>
      <w:tr w14:paraId="69201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B9BE78A">
            <w:pPr>
              <w:pStyle w:val="321"/>
              <w:spacing w:line="560" w:lineRule="exact"/>
              <w:jc w:val="center"/>
              <w:rPr>
                <w:rFonts w:hint="eastAsia" w:ascii="宋体" w:hAnsi="宋体" w:cs="宋体"/>
                <w:sz w:val="24"/>
                <w:highlight w:val="none"/>
              </w:rPr>
            </w:pPr>
          </w:p>
        </w:tc>
        <w:tc>
          <w:tcPr>
            <w:tcW w:w="2682" w:type="dxa"/>
            <w:vAlign w:val="center"/>
          </w:tcPr>
          <w:p w14:paraId="570E8E05">
            <w:pPr>
              <w:pStyle w:val="321"/>
              <w:spacing w:line="560" w:lineRule="exact"/>
              <w:jc w:val="center"/>
              <w:rPr>
                <w:rFonts w:hint="eastAsia" w:ascii="宋体" w:hAnsi="宋体" w:cs="宋体"/>
                <w:sz w:val="24"/>
                <w:highlight w:val="none"/>
              </w:rPr>
            </w:pPr>
          </w:p>
        </w:tc>
        <w:tc>
          <w:tcPr>
            <w:tcW w:w="2682" w:type="dxa"/>
            <w:vAlign w:val="center"/>
          </w:tcPr>
          <w:p w14:paraId="646B3D71">
            <w:pPr>
              <w:pStyle w:val="321"/>
              <w:spacing w:line="560" w:lineRule="exact"/>
              <w:jc w:val="center"/>
              <w:rPr>
                <w:rFonts w:hint="eastAsia" w:ascii="宋体" w:hAnsi="宋体" w:cs="宋体"/>
                <w:sz w:val="24"/>
                <w:highlight w:val="none"/>
              </w:rPr>
            </w:pPr>
          </w:p>
        </w:tc>
        <w:tc>
          <w:tcPr>
            <w:tcW w:w="1517" w:type="dxa"/>
            <w:vAlign w:val="center"/>
          </w:tcPr>
          <w:p w14:paraId="0120F9E9">
            <w:pPr>
              <w:pStyle w:val="321"/>
              <w:spacing w:line="560" w:lineRule="exact"/>
              <w:jc w:val="center"/>
              <w:rPr>
                <w:rFonts w:hint="eastAsia" w:ascii="宋体" w:hAnsi="宋体" w:cs="宋体"/>
                <w:sz w:val="24"/>
                <w:highlight w:val="none"/>
              </w:rPr>
            </w:pPr>
          </w:p>
        </w:tc>
      </w:tr>
      <w:tr w14:paraId="52502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0FD20F32">
            <w:pPr>
              <w:pStyle w:val="321"/>
              <w:spacing w:line="560" w:lineRule="exact"/>
              <w:jc w:val="center"/>
              <w:rPr>
                <w:rFonts w:hint="eastAsia" w:ascii="宋体" w:hAnsi="宋体" w:cs="宋体"/>
                <w:sz w:val="24"/>
                <w:highlight w:val="none"/>
              </w:rPr>
            </w:pPr>
          </w:p>
        </w:tc>
        <w:tc>
          <w:tcPr>
            <w:tcW w:w="2682" w:type="dxa"/>
            <w:vAlign w:val="center"/>
          </w:tcPr>
          <w:p w14:paraId="089DA638">
            <w:pPr>
              <w:pStyle w:val="321"/>
              <w:spacing w:line="560" w:lineRule="exact"/>
              <w:jc w:val="center"/>
              <w:rPr>
                <w:rFonts w:hint="eastAsia" w:ascii="宋体" w:hAnsi="宋体" w:cs="宋体"/>
                <w:sz w:val="24"/>
                <w:highlight w:val="none"/>
              </w:rPr>
            </w:pPr>
          </w:p>
        </w:tc>
        <w:tc>
          <w:tcPr>
            <w:tcW w:w="2682" w:type="dxa"/>
            <w:vAlign w:val="center"/>
          </w:tcPr>
          <w:p w14:paraId="22FE5689">
            <w:pPr>
              <w:pStyle w:val="321"/>
              <w:spacing w:line="560" w:lineRule="exact"/>
              <w:jc w:val="center"/>
              <w:rPr>
                <w:rFonts w:hint="eastAsia" w:ascii="宋体" w:hAnsi="宋体" w:cs="宋体"/>
                <w:sz w:val="24"/>
                <w:highlight w:val="none"/>
              </w:rPr>
            </w:pPr>
          </w:p>
        </w:tc>
        <w:tc>
          <w:tcPr>
            <w:tcW w:w="1517" w:type="dxa"/>
            <w:vAlign w:val="center"/>
          </w:tcPr>
          <w:p w14:paraId="124A9559">
            <w:pPr>
              <w:pStyle w:val="321"/>
              <w:spacing w:line="560" w:lineRule="exact"/>
              <w:jc w:val="center"/>
              <w:rPr>
                <w:rFonts w:hint="eastAsia" w:ascii="宋体" w:hAnsi="宋体" w:cs="宋体"/>
                <w:sz w:val="24"/>
                <w:highlight w:val="none"/>
              </w:rPr>
            </w:pPr>
          </w:p>
        </w:tc>
      </w:tr>
    </w:tbl>
    <w:p w14:paraId="67F75F56">
      <w:pPr>
        <w:pStyle w:val="285"/>
        <w:ind w:firstLine="480"/>
        <w:jc w:val="both"/>
        <w:rPr>
          <w:rFonts w:hint="eastAsia" w:hAnsi="宋体" w:cs="宋体"/>
          <w:highlight w:val="none"/>
        </w:rPr>
      </w:pPr>
      <w:r>
        <w:rPr>
          <w:rFonts w:hint="eastAsia" w:hAnsi="宋体" w:cs="宋体"/>
          <w:highlight w:val="none"/>
        </w:rPr>
        <w:t>单位名称：（盖章）</w:t>
      </w:r>
      <w:r>
        <w:rPr>
          <w:rFonts w:hint="eastAsia" w:hAnsi="宋体" w:cs="宋体"/>
          <w:highlight w:val="none"/>
          <w:u w:val="single"/>
        </w:rPr>
        <w:t xml:space="preserve">       </w:t>
      </w:r>
    </w:p>
    <w:p w14:paraId="18114DDF">
      <w:pPr>
        <w:pStyle w:val="382"/>
        <w:spacing w:line="700" w:lineRule="exact"/>
        <w:ind w:firstLine="629"/>
        <w:rPr>
          <w:rFonts w:hint="eastAsia" w:ascii="宋体" w:hAnsi="宋体" w:cs="宋体"/>
          <w:sz w:val="24"/>
          <w:highlight w:val="none"/>
          <w:u w:val="single"/>
        </w:rPr>
      </w:pPr>
      <w:r>
        <w:rPr>
          <w:rFonts w:hint="eastAsia" w:ascii="宋体" w:hAnsi="宋体" w:cs="宋体"/>
          <w:sz w:val="24"/>
          <w:highlight w:val="none"/>
        </w:rPr>
        <w:t>法定代表人（或授权代表）：（签字或签章）</w:t>
      </w:r>
      <w:r>
        <w:rPr>
          <w:rFonts w:hint="eastAsia" w:ascii="宋体" w:hAnsi="宋体" w:cs="宋体"/>
          <w:sz w:val="24"/>
          <w:highlight w:val="none"/>
          <w:u w:val="single"/>
        </w:rPr>
        <w:t xml:space="preserve">              </w:t>
      </w:r>
    </w:p>
    <w:p w14:paraId="6AE51F81">
      <w:pPr>
        <w:pStyle w:val="382"/>
        <w:spacing w:line="700" w:lineRule="exact"/>
        <w:ind w:firstLine="629"/>
        <w:rPr>
          <w:rFonts w:hint="eastAsia" w:ascii="宋体" w:hAnsi="宋体" w:cs="宋体"/>
          <w:sz w:val="24"/>
          <w:highlight w:val="none"/>
          <w:u w:val="single"/>
        </w:rPr>
      </w:pPr>
    </w:p>
    <w:p w14:paraId="72F67A3E">
      <w:pPr>
        <w:pStyle w:val="321"/>
        <w:numPr>
          <w:ilvl w:val="0"/>
          <w:numId w:val="16"/>
        </w:numPr>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投标人商务条件如与招标文件要求的不一致，则须在上表偏离说明中详细注明。</w:t>
      </w:r>
    </w:p>
    <w:p w14:paraId="74BC8964">
      <w:pPr>
        <w:pStyle w:val="321"/>
        <w:numPr>
          <w:ilvl w:val="0"/>
          <w:numId w:val="16"/>
        </w:numPr>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注：本项目商务条款全部为实质性条款，负偏离视为无效文件。</w:t>
      </w:r>
    </w:p>
    <w:p w14:paraId="791BA54F">
      <w:pPr>
        <w:pStyle w:val="417"/>
        <w:outlineLvl w:val="1"/>
        <w:rPr>
          <w:rFonts w:hint="eastAsia" w:ascii="宋体" w:hAnsi="宋体" w:eastAsia="宋体" w:cs="宋体"/>
          <w:highlight w:val="none"/>
        </w:rPr>
      </w:pPr>
      <w:bookmarkStart w:id="174" w:name="_Toc514054500"/>
      <w:r>
        <w:rPr>
          <w:rFonts w:hint="eastAsia" w:ascii="宋体" w:hAnsi="宋体" w:eastAsia="宋体" w:cs="宋体"/>
          <w:highlight w:val="none"/>
        </w:rPr>
        <w:br w:type="page" w:clear="all"/>
      </w:r>
      <w:bookmarkEnd w:id="174"/>
      <w:bookmarkStart w:id="175" w:name="_Toc199794521"/>
      <w:bookmarkStart w:id="176" w:name="_Toc15828"/>
      <w:bookmarkStart w:id="177" w:name="_Toc514054502"/>
      <w:bookmarkStart w:id="178" w:name="_Toc25001_WPSOffice_Level2"/>
      <w:r>
        <w:rPr>
          <w:rFonts w:hint="eastAsia" w:ascii="宋体" w:hAnsi="宋体" w:eastAsia="宋体" w:cs="宋体"/>
          <w:highlight w:val="none"/>
        </w:rPr>
        <w:t>十</w:t>
      </w:r>
      <w:r>
        <w:rPr>
          <w:rFonts w:hint="eastAsia" w:ascii="宋体" w:hAnsi="宋体" w:eastAsia="宋体" w:cs="宋体"/>
          <w:highlight w:val="none"/>
          <w:lang w:val="en-US" w:eastAsia="zh-CN"/>
        </w:rPr>
        <w:t>四</w:t>
      </w:r>
      <w:r>
        <w:rPr>
          <w:rFonts w:hint="eastAsia" w:ascii="宋体" w:hAnsi="宋体" w:eastAsia="宋体" w:cs="宋体"/>
          <w:highlight w:val="none"/>
        </w:rPr>
        <w:t>、服务方案</w:t>
      </w:r>
      <w:bookmarkEnd w:id="175"/>
      <w:bookmarkEnd w:id="176"/>
      <w:bookmarkEnd w:id="177"/>
      <w:bookmarkEnd w:id="178"/>
    </w:p>
    <w:p w14:paraId="34A1C8CD">
      <w:pPr>
        <w:pStyle w:val="456"/>
        <w:spacing w:line="560" w:lineRule="exact"/>
        <w:jc w:val="center"/>
        <w:rPr>
          <w:rFonts w:hint="eastAsia" w:ascii="宋体" w:hAnsi="宋体" w:cs="宋体"/>
          <w:b/>
          <w:bCs/>
          <w:sz w:val="32"/>
          <w:szCs w:val="32"/>
          <w:highlight w:val="none"/>
        </w:rPr>
      </w:pPr>
      <w:bookmarkStart w:id="179" w:name="_Toc2882_WPSOffice_Level2"/>
      <w:r>
        <w:rPr>
          <w:rFonts w:hint="eastAsia" w:ascii="宋体" w:hAnsi="宋体" w:cs="宋体"/>
          <w:b/>
          <w:bCs/>
          <w:sz w:val="32"/>
          <w:szCs w:val="32"/>
          <w:highlight w:val="none"/>
        </w:rPr>
        <w:t>按照招标文件要求，格式自拟</w:t>
      </w:r>
      <w:bookmarkEnd w:id="179"/>
    </w:p>
    <w:p w14:paraId="3DA1391D">
      <w:pPr>
        <w:pStyle w:val="585"/>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80" w:name="_Toc199794522"/>
      <w:bookmarkStart w:id="181" w:name="_Toc30208_WPSOffice_Level2"/>
      <w:bookmarkStart w:id="182" w:name="_Toc514054504"/>
      <w:bookmarkStart w:id="183" w:name="_Toc5519"/>
      <w:r>
        <w:rPr>
          <w:rFonts w:hint="eastAsia" w:ascii="宋体" w:hAnsi="宋体" w:eastAsia="宋体" w:cs="宋体"/>
          <w:highlight w:val="none"/>
        </w:rPr>
        <w:t>十</w:t>
      </w:r>
      <w:r>
        <w:rPr>
          <w:rFonts w:hint="eastAsia" w:ascii="宋体" w:hAnsi="宋体" w:eastAsia="宋体" w:cs="宋体"/>
          <w:highlight w:val="none"/>
          <w:lang w:val="en-US" w:eastAsia="zh-CN"/>
        </w:rPr>
        <w:t>五</w:t>
      </w:r>
      <w:r>
        <w:rPr>
          <w:rFonts w:hint="eastAsia" w:ascii="宋体" w:hAnsi="宋体" w:eastAsia="宋体" w:cs="宋体"/>
          <w:highlight w:val="none"/>
        </w:rPr>
        <w:t>、投标人（或供货商、厂商）项目业绩一览表</w:t>
      </w:r>
      <w:bookmarkEnd w:id="180"/>
      <w:bookmarkEnd w:id="181"/>
      <w:bookmarkEnd w:id="182"/>
      <w:bookmarkEnd w:id="183"/>
    </w:p>
    <w:p w14:paraId="6D18E2CD">
      <w:pPr>
        <w:pStyle w:val="498"/>
        <w:jc w:val="center"/>
        <w:rPr>
          <w:rFonts w:hint="eastAsia" w:ascii="宋体" w:hAnsi="宋体" w:cs="宋体"/>
          <w:b/>
          <w:sz w:val="32"/>
          <w:szCs w:val="32"/>
          <w:highlight w:val="none"/>
        </w:rPr>
      </w:pPr>
      <w:bookmarkStart w:id="184" w:name="_Toc10294_WPSOffice_Level2"/>
      <w:r>
        <w:rPr>
          <w:rFonts w:hint="eastAsia" w:ascii="宋体" w:hAnsi="宋体" w:cs="宋体"/>
          <w:b/>
          <w:sz w:val="32"/>
          <w:szCs w:val="32"/>
          <w:highlight w:val="none"/>
        </w:rPr>
        <w:t>投标人（或供货商、厂商）项目业绩一览表</w:t>
      </w:r>
      <w:bookmarkEnd w:id="184"/>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BC97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6EC1C76F">
            <w:pPr>
              <w:pStyle w:val="538"/>
              <w:spacing w:line="560" w:lineRule="exact"/>
              <w:jc w:val="center"/>
              <w:rPr>
                <w:rFonts w:hint="eastAsia" w:ascii="宋体" w:hAnsi="宋体" w:cs="宋体"/>
                <w:sz w:val="28"/>
                <w:szCs w:val="28"/>
                <w:highlight w:val="none"/>
              </w:rPr>
            </w:pPr>
            <w:r>
              <w:rPr>
                <w:rFonts w:hint="eastAsia" w:ascii="宋体" w:hAnsi="宋体" w:cs="宋体"/>
                <w:sz w:val="28"/>
                <w:szCs w:val="28"/>
                <w:highlight w:val="none"/>
              </w:rPr>
              <w:t>序号</w:t>
            </w:r>
          </w:p>
        </w:tc>
        <w:tc>
          <w:tcPr>
            <w:tcW w:w="3827" w:type="dxa"/>
            <w:vAlign w:val="center"/>
          </w:tcPr>
          <w:p w14:paraId="1B0CDBFF">
            <w:pPr>
              <w:pStyle w:val="538"/>
              <w:spacing w:line="560" w:lineRule="exact"/>
              <w:jc w:val="center"/>
              <w:rPr>
                <w:rFonts w:hint="eastAsia" w:ascii="宋体" w:hAnsi="宋体" w:cs="宋体"/>
                <w:sz w:val="28"/>
                <w:szCs w:val="28"/>
                <w:highlight w:val="none"/>
              </w:rPr>
            </w:pPr>
            <w:r>
              <w:rPr>
                <w:rFonts w:hint="eastAsia" w:ascii="宋体" w:hAnsi="宋体" w:cs="宋体"/>
                <w:sz w:val="28"/>
                <w:szCs w:val="28"/>
                <w:highlight w:val="none"/>
              </w:rPr>
              <w:t>项目名称</w:t>
            </w:r>
          </w:p>
        </w:tc>
        <w:tc>
          <w:tcPr>
            <w:tcW w:w="2433" w:type="dxa"/>
            <w:vAlign w:val="center"/>
          </w:tcPr>
          <w:p w14:paraId="5760840D">
            <w:pPr>
              <w:pStyle w:val="538"/>
              <w:spacing w:line="560" w:lineRule="exact"/>
              <w:jc w:val="center"/>
              <w:rPr>
                <w:rFonts w:hint="eastAsia" w:ascii="宋体" w:hAnsi="宋体" w:cs="宋体"/>
                <w:sz w:val="28"/>
                <w:szCs w:val="28"/>
                <w:highlight w:val="none"/>
              </w:rPr>
            </w:pPr>
            <w:r>
              <w:rPr>
                <w:rFonts w:hint="eastAsia" w:ascii="宋体" w:hAnsi="宋体" w:cs="宋体"/>
                <w:sz w:val="28"/>
                <w:szCs w:val="28"/>
                <w:highlight w:val="none"/>
              </w:rPr>
              <w:t>采购单位</w:t>
            </w:r>
          </w:p>
        </w:tc>
        <w:tc>
          <w:tcPr>
            <w:tcW w:w="1395" w:type="dxa"/>
            <w:vAlign w:val="center"/>
          </w:tcPr>
          <w:p w14:paraId="2CB6CC54">
            <w:pPr>
              <w:pStyle w:val="538"/>
              <w:spacing w:line="560" w:lineRule="exact"/>
              <w:jc w:val="center"/>
              <w:rPr>
                <w:rFonts w:hint="eastAsia" w:ascii="宋体" w:hAnsi="宋体" w:cs="宋体"/>
                <w:sz w:val="28"/>
                <w:szCs w:val="28"/>
                <w:highlight w:val="none"/>
              </w:rPr>
            </w:pPr>
            <w:r>
              <w:rPr>
                <w:rFonts w:hint="eastAsia" w:ascii="宋体" w:hAnsi="宋体" w:cs="宋体"/>
                <w:sz w:val="28"/>
                <w:szCs w:val="28"/>
                <w:highlight w:val="none"/>
              </w:rPr>
              <w:t>合同金额</w:t>
            </w:r>
          </w:p>
        </w:tc>
      </w:tr>
      <w:tr w14:paraId="418C9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7A1AFEC4">
            <w:pPr>
              <w:pStyle w:val="538"/>
              <w:spacing w:line="560" w:lineRule="exact"/>
              <w:jc w:val="center"/>
              <w:rPr>
                <w:rFonts w:hint="eastAsia" w:ascii="宋体" w:hAnsi="宋体" w:cs="宋体"/>
                <w:sz w:val="28"/>
                <w:highlight w:val="none"/>
              </w:rPr>
            </w:pPr>
          </w:p>
        </w:tc>
        <w:tc>
          <w:tcPr>
            <w:tcW w:w="3827" w:type="dxa"/>
            <w:vAlign w:val="center"/>
          </w:tcPr>
          <w:p w14:paraId="78ACAE65">
            <w:pPr>
              <w:pStyle w:val="538"/>
              <w:spacing w:line="560" w:lineRule="exact"/>
              <w:jc w:val="center"/>
              <w:rPr>
                <w:rFonts w:hint="eastAsia" w:ascii="宋体" w:hAnsi="宋体" w:cs="宋体"/>
                <w:sz w:val="28"/>
                <w:highlight w:val="none"/>
              </w:rPr>
            </w:pPr>
          </w:p>
        </w:tc>
        <w:tc>
          <w:tcPr>
            <w:tcW w:w="2433" w:type="dxa"/>
            <w:vAlign w:val="center"/>
          </w:tcPr>
          <w:p w14:paraId="13AB4903">
            <w:pPr>
              <w:pStyle w:val="538"/>
              <w:spacing w:line="560" w:lineRule="exact"/>
              <w:jc w:val="center"/>
              <w:rPr>
                <w:rFonts w:hint="eastAsia" w:ascii="宋体" w:hAnsi="宋体" w:cs="宋体"/>
                <w:sz w:val="28"/>
                <w:highlight w:val="none"/>
              </w:rPr>
            </w:pPr>
          </w:p>
        </w:tc>
        <w:tc>
          <w:tcPr>
            <w:tcW w:w="1395" w:type="dxa"/>
            <w:vAlign w:val="center"/>
          </w:tcPr>
          <w:p w14:paraId="2D1CB65B">
            <w:pPr>
              <w:pStyle w:val="538"/>
              <w:spacing w:line="560" w:lineRule="exact"/>
              <w:jc w:val="center"/>
              <w:rPr>
                <w:rFonts w:hint="eastAsia" w:ascii="宋体" w:hAnsi="宋体" w:cs="宋体"/>
                <w:sz w:val="28"/>
                <w:highlight w:val="none"/>
              </w:rPr>
            </w:pPr>
          </w:p>
        </w:tc>
      </w:tr>
      <w:tr w14:paraId="4906A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9CBDEFA">
            <w:pPr>
              <w:pStyle w:val="538"/>
              <w:spacing w:line="560" w:lineRule="exact"/>
              <w:jc w:val="center"/>
              <w:rPr>
                <w:rFonts w:hint="eastAsia" w:ascii="宋体" w:hAnsi="宋体" w:cs="宋体"/>
                <w:sz w:val="28"/>
                <w:highlight w:val="none"/>
              </w:rPr>
            </w:pPr>
          </w:p>
        </w:tc>
        <w:tc>
          <w:tcPr>
            <w:tcW w:w="3827" w:type="dxa"/>
            <w:vAlign w:val="center"/>
          </w:tcPr>
          <w:p w14:paraId="2D35FAA2">
            <w:pPr>
              <w:pStyle w:val="538"/>
              <w:spacing w:line="560" w:lineRule="exact"/>
              <w:jc w:val="center"/>
              <w:rPr>
                <w:rFonts w:hint="eastAsia" w:ascii="宋体" w:hAnsi="宋体" w:cs="宋体"/>
                <w:sz w:val="28"/>
                <w:highlight w:val="none"/>
              </w:rPr>
            </w:pPr>
          </w:p>
        </w:tc>
        <w:tc>
          <w:tcPr>
            <w:tcW w:w="2433" w:type="dxa"/>
            <w:vAlign w:val="center"/>
          </w:tcPr>
          <w:p w14:paraId="0ADCDC37">
            <w:pPr>
              <w:pStyle w:val="538"/>
              <w:spacing w:line="560" w:lineRule="exact"/>
              <w:jc w:val="center"/>
              <w:rPr>
                <w:rFonts w:hint="eastAsia" w:ascii="宋体" w:hAnsi="宋体" w:cs="宋体"/>
                <w:sz w:val="28"/>
                <w:highlight w:val="none"/>
              </w:rPr>
            </w:pPr>
          </w:p>
        </w:tc>
        <w:tc>
          <w:tcPr>
            <w:tcW w:w="1395" w:type="dxa"/>
            <w:vAlign w:val="center"/>
          </w:tcPr>
          <w:p w14:paraId="55F8E8C5">
            <w:pPr>
              <w:pStyle w:val="538"/>
              <w:spacing w:line="560" w:lineRule="exact"/>
              <w:jc w:val="center"/>
              <w:rPr>
                <w:rFonts w:hint="eastAsia" w:ascii="宋体" w:hAnsi="宋体" w:cs="宋体"/>
                <w:sz w:val="28"/>
                <w:highlight w:val="none"/>
              </w:rPr>
            </w:pPr>
          </w:p>
        </w:tc>
      </w:tr>
      <w:tr w14:paraId="28160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208D443B">
            <w:pPr>
              <w:pStyle w:val="538"/>
              <w:spacing w:line="560" w:lineRule="exact"/>
              <w:jc w:val="center"/>
              <w:rPr>
                <w:rFonts w:hint="eastAsia" w:ascii="宋体" w:hAnsi="宋体" w:cs="宋体"/>
                <w:sz w:val="28"/>
                <w:highlight w:val="none"/>
              </w:rPr>
            </w:pPr>
          </w:p>
        </w:tc>
        <w:tc>
          <w:tcPr>
            <w:tcW w:w="3827" w:type="dxa"/>
            <w:vAlign w:val="center"/>
          </w:tcPr>
          <w:p w14:paraId="667F4580">
            <w:pPr>
              <w:pStyle w:val="538"/>
              <w:spacing w:line="560" w:lineRule="exact"/>
              <w:jc w:val="center"/>
              <w:rPr>
                <w:rFonts w:hint="eastAsia" w:ascii="宋体" w:hAnsi="宋体" w:cs="宋体"/>
                <w:sz w:val="28"/>
                <w:highlight w:val="none"/>
              </w:rPr>
            </w:pPr>
          </w:p>
        </w:tc>
        <w:tc>
          <w:tcPr>
            <w:tcW w:w="2433" w:type="dxa"/>
            <w:vAlign w:val="center"/>
          </w:tcPr>
          <w:p w14:paraId="3B9A36F0">
            <w:pPr>
              <w:pStyle w:val="538"/>
              <w:spacing w:line="560" w:lineRule="exact"/>
              <w:jc w:val="center"/>
              <w:rPr>
                <w:rFonts w:hint="eastAsia" w:ascii="宋体" w:hAnsi="宋体" w:cs="宋体"/>
                <w:sz w:val="28"/>
                <w:highlight w:val="none"/>
              </w:rPr>
            </w:pPr>
          </w:p>
        </w:tc>
        <w:tc>
          <w:tcPr>
            <w:tcW w:w="1395" w:type="dxa"/>
            <w:vAlign w:val="center"/>
          </w:tcPr>
          <w:p w14:paraId="263A5D32">
            <w:pPr>
              <w:pStyle w:val="538"/>
              <w:spacing w:line="560" w:lineRule="exact"/>
              <w:jc w:val="center"/>
              <w:rPr>
                <w:rFonts w:hint="eastAsia" w:ascii="宋体" w:hAnsi="宋体" w:cs="宋体"/>
                <w:sz w:val="28"/>
                <w:highlight w:val="none"/>
              </w:rPr>
            </w:pPr>
          </w:p>
        </w:tc>
      </w:tr>
      <w:tr w14:paraId="13A2D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71707264">
            <w:pPr>
              <w:pStyle w:val="538"/>
              <w:spacing w:line="560" w:lineRule="exact"/>
              <w:jc w:val="center"/>
              <w:rPr>
                <w:rFonts w:hint="eastAsia" w:ascii="宋体" w:hAnsi="宋体" w:cs="宋体"/>
                <w:sz w:val="28"/>
                <w:highlight w:val="none"/>
              </w:rPr>
            </w:pPr>
          </w:p>
        </w:tc>
        <w:tc>
          <w:tcPr>
            <w:tcW w:w="3827" w:type="dxa"/>
            <w:vAlign w:val="center"/>
          </w:tcPr>
          <w:p w14:paraId="01E14E7C">
            <w:pPr>
              <w:pStyle w:val="538"/>
              <w:spacing w:line="560" w:lineRule="exact"/>
              <w:jc w:val="center"/>
              <w:rPr>
                <w:rFonts w:hint="eastAsia" w:ascii="宋体" w:hAnsi="宋体" w:cs="宋体"/>
                <w:sz w:val="28"/>
                <w:highlight w:val="none"/>
              </w:rPr>
            </w:pPr>
          </w:p>
        </w:tc>
        <w:tc>
          <w:tcPr>
            <w:tcW w:w="2433" w:type="dxa"/>
            <w:vAlign w:val="center"/>
          </w:tcPr>
          <w:p w14:paraId="3B8C8ABE">
            <w:pPr>
              <w:pStyle w:val="538"/>
              <w:spacing w:line="560" w:lineRule="exact"/>
              <w:jc w:val="center"/>
              <w:rPr>
                <w:rFonts w:hint="eastAsia" w:ascii="宋体" w:hAnsi="宋体" w:cs="宋体"/>
                <w:sz w:val="28"/>
                <w:highlight w:val="none"/>
              </w:rPr>
            </w:pPr>
          </w:p>
        </w:tc>
        <w:tc>
          <w:tcPr>
            <w:tcW w:w="1395" w:type="dxa"/>
            <w:vAlign w:val="center"/>
          </w:tcPr>
          <w:p w14:paraId="19B36E80">
            <w:pPr>
              <w:pStyle w:val="538"/>
              <w:spacing w:line="560" w:lineRule="exact"/>
              <w:jc w:val="center"/>
              <w:rPr>
                <w:rFonts w:hint="eastAsia" w:ascii="宋体" w:hAnsi="宋体" w:cs="宋体"/>
                <w:sz w:val="28"/>
                <w:highlight w:val="none"/>
              </w:rPr>
            </w:pPr>
          </w:p>
        </w:tc>
      </w:tr>
    </w:tbl>
    <w:p w14:paraId="68F6C6FB">
      <w:pPr>
        <w:pStyle w:val="485"/>
        <w:outlineLvl w:val="1"/>
        <w:rPr>
          <w:rFonts w:hint="eastAsia" w:ascii="宋体" w:hAnsi="宋体" w:eastAsia="宋体" w:cs="宋体"/>
          <w:highlight w:val="none"/>
        </w:rPr>
      </w:pPr>
      <w:r>
        <w:rPr>
          <w:rFonts w:hint="eastAsia" w:ascii="宋体" w:hAnsi="宋体" w:eastAsia="宋体" w:cs="宋体"/>
          <w:highlight w:val="none"/>
        </w:rPr>
        <w:br w:type="page" w:clear="all"/>
      </w:r>
      <w:bookmarkStart w:id="185" w:name="_Toc30836_WPSOffice_Level2"/>
      <w:bookmarkStart w:id="186" w:name="_Toc502821163"/>
      <w:bookmarkStart w:id="187" w:name="_Toc199794523"/>
      <w:bookmarkStart w:id="188" w:name="_Toc514054505"/>
      <w:bookmarkStart w:id="189" w:name="_Toc15753"/>
      <w:r>
        <w:rPr>
          <w:rFonts w:hint="eastAsia" w:ascii="宋体" w:hAnsi="宋体" w:eastAsia="宋体" w:cs="宋体"/>
          <w:highlight w:val="none"/>
        </w:rPr>
        <w:t>十</w:t>
      </w:r>
      <w:r>
        <w:rPr>
          <w:rFonts w:hint="eastAsia" w:ascii="宋体" w:hAnsi="宋体" w:eastAsia="宋体" w:cs="宋体"/>
          <w:highlight w:val="none"/>
          <w:lang w:val="en-US" w:eastAsia="zh-CN"/>
        </w:rPr>
        <w:t>六</w:t>
      </w:r>
      <w:r>
        <w:rPr>
          <w:rFonts w:hint="eastAsia" w:ascii="宋体" w:hAnsi="宋体" w:eastAsia="宋体" w:cs="宋体"/>
          <w:highlight w:val="none"/>
        </w:rPr>
        <w:t>、投标所需其他材料</w:t>
      </w:r>
      <w:bookmarkEnd w:id="185"/>
      <w:bookmarkEnd w:id="186"/>
      <w:bookmarkEnd w:id="187"/>
      <w:bookmarkEnd w:id="188"/>
      <w:bookmarkEnd w:id="189"/>
    </w:p>
    <w:p w14:paraId="5E3C871D">
      <w:pPr>
        <w:pStyle w:val="622"/>
        <w:spacing w:line="360" w:lineRule="auto"/>
        <w:ind w:firstLine="420"/>
        <w:rPr>
          <w:rFonts w:hint="eastAsia" w:ascii="宋体" w:hAnsi="宋体" w:cs="宋体"/>
          <w:highlight w:val="none"/>
        </w:rPr>
      </w:pPr>
      <w:r>
        <w:rPr>
          <w:rFonts w:hint="eastAsia" w:ascii="宋体" w:hAnsi="宋体" w:cs="宋体"/>
          <w:highlight w:val="none"/>
        </w:rPr>
        <w:t>请在此文档中增加投标所需其他相关内容（包括资格要求、评分办法、采购需求中涉及的证件证明及其它投标人认为有必要提供的资料），如没有请空置。</w:t>
      </w:r>
    </w:p>
    <w:p w14:paraId="53184E02">
      <w:pPr>
        <w:rPr>
          <w:rFonts w:hint="eastAsia" w:ascii="宋体" w:hAnsi="宋体" w:cs="宋体"/>
          <w:sz w:val="20"/>
          <w:highlight w:val="none"/>
        </w:rPr>
      </w:pPr>
      <w:r>
        <w:rPr>
          <w:rFonts w:hint="eastAsia" w:ascii="宋体" w:hAnsi="宋体" w:cs="宋体"/>
          <w:sz w:val="20"/>
          <w:highlight w:val="none"/>
        </w:rPr>
        <w:t xml:space="preserve"> </w:t>
      </w:r>
    </w:p>
    <w:p w14:paraId="21639906">
      <w:pPr>
        <w:rPr>
          <w:sz w:val="20"/>
          <w:highlight w:val="none"/>
        </w:rPr>
      </w:pPr>
    </w:p>
    <w:sectPr>
      <w:footerReference r:id="rId4" w:type="default"/>
      <w:pgSz w:w="11906" w:h="16838"/>
      <w:pgMar w:top="1440" w:right="1083" w:bottom="1440" w:left="108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3FC832B-567C-4A87-AA41-94AD89664569}"/>
  </w:font>
  <w:font w:name="黑体">
    <w:panose1 w:val="02010609060101010101"/>
    <w:charset w:val="86"/>
    <w:family w:val="auto"/>
    <w:pitch w:val="default"/>
    <w:sig w:usb0="800002BF" w:usb1="38CF7CFA" w:usb2="00000016" w:usb3="00000000" w:csb0="00040001" w:csb1="00000000"/>
    <w:embedRegular r:id="rId2" w:fontKey="{1A2CF3B4-8389-4E1E-9A92-F3363436187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AB33B07-69B9-41D6-8906-6BC77477B156}"/>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embedRegular r:id="rId4" w:fontKey="{A51A28D3-6B48-41AA-B055-3DD1EA6A9749}"/>
  </w:font>
  <w:font w:name="仿宋">
    <w:panose1 w:val="02010609060101010101"/>
    <w:charset w:val="86"/>
    <w:family w:val="auto"/>
    <w:pitch w:val="default"/>
    <w:sig w:usb0="800002BF" w:usb1="38CF7CFA" w:usb2="00000016" w:usb3="00000000" w:csb0="00040001" w:csb1="00000000"/>
    <w:embedRegular r:id="rId5" w:fontKey="{21E99A44-645A-4B92-81AA-4C40A83C0324}"/>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embedRegular r:id="rId6" w:fontKey="{AD630B50-E6DE-44F5-AC26-01640D589674}"/>
  </w:font>
  <w:font w:name="楷体">
    <w:panose1 w:val="02010609060101010101"/>
    <w:charset w:val="86"/>
    <w:family w:val="auto"/>
    <w:pitch w:val="default"/>
    <w:sig w:usb0="800002BF" w:usb1="38CF7CFA" w:usb2="00000016" w:usb3="00000000" w:csb0="00040001" w:csb1="00000000"/>
  </w:font>
  <w:font w:name="Univers LT Std 45 Ligh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Kingsoft Phonetic Plain">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华文琥珀">
    <w:panose1 w:val="02010800040101010101"/>
    <w:charset w:val="86"/>
    <w:family w:val="auto"/>
    <w:pitch w:val="default"/>
    <w:sig w:usb0="00000001" w:usb1="080F0000" w:usb2="00000000" w:usb3="00000000" w:csb0="00040000" w:csb1="00000000"/>
    <w:embedRegular r:id="rId7" w:fontKey="{B522C658-18D2-4AAF-8580-6B99DEE4EE93}"/>
  </w:font>
  <w:font w:name="方正大标宋简体">
    <w:panose1 w:val="02000000000000000000"/>
    <w:charset w:val="86"/>
    <w:family w:val="auto"/>
    <w:pitch w:val="default"/>
    <w:sig w:usb0="A00002BF" w:usb1="184F6CFA" w:usb2="00000012" w:usb3="00000000" w:csb0="00040001" w:csb1="00000000"/>
    <w:embedRegular r:id="rId8" w:fontKey="{0C5E4E76-51F9-4781-A336-FC4C24238CA5}"/>
  </w:font>
  <w:font w:name="华文楷体">
    <w:panose1 w:val="02010600040101010101"/>
    <w:charset w:val="86"/>
    <w:family w:val="auto"/>
    <w:pitch w:val="default"/>
    <w:sig w:usb0="00000287" w:usb1="080F0000" w:usb2="00000000" w:usb3="00000000" w:csb0="0004009F" w:csb1="DFD70000"/>
    <w:embedRegular r:id="rId9" w:fontKey="{9D4DA672-8A86-4EDC-92B9-EC6AE8E6949E}"/>
  </w:font>
  <w:font w:name="华文仿宋">
    <w:panose1 w:val="02010600040101010101"/>
    <w:charset w:val="86"/>
    <w:family w:val="auto"/>
    <w:pitch w:val="default"/>
    <w:sig w:usb0="00000287" w:usb1="080F0000" w:usb2="00000000" w:usb3="00000000" w:csb0="0004009F" w:csb1="DFD70000"/>
    <w:embedRegular r:id="rId10" w:fontKey="{87390FFD-C251-4A5A-A201-5A1028193402}"/>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BECAB">
    <w:pPr>
      <w:pStyle w:val="26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808B63">
                          <w:pPr>
                            <w:pStyle w:val="265"/>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835BCE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808B63">
                    <w:pPr>
                      <w:pStyle w:val="265"/>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835BCE7"/>
                </w:txbxContent>
              </v:textbox>
            </v:shape>
          </w:pict>
        </mc:Fallback>
      </mc:AlternateContent>
    </w:r>
  </w:p>
  <w:p w14:paraId="19A0CBF2">
    <w:pPr>
      <w:pStyle w:val="26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6B8D8EA">
      <w:pPr>
        <w:pStyle w:val="26"/>
      </w:pPr>
      <w:r>
        <w:rPr>
          <w:rStyle w:val="40"/>
        </w:rPr>
        <w:footnoteRef/>
      </w:r>
      <w:r>
        <w:t xml:space="preserve"> </w:t>
      </w:r>
      <w:r>
        <w:rPr>
          <w:rFonts w:hint="eastAsia"/>
        </w:rPr>
        <w:t>本合同内容条款在正式签署前可具体补充细化，仅作参考，最终合同以采购人法务审查通过的版本为准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1F67AB"/>
    <w:multiLevelType w:val="singleLevel"/>
    <w:tmpl w:val="951F67AB"/>
    <w:lvl w:ilvl="0" w:tentative="0">
      <w:start w:val="2"/>
      <w:numFmt w:val="decimal"/>
      <w:suff w:val="space"/>
      <w:lvlText w:val="%1."/>
      <w:lvlJc w:val="left"/>
    </w:lvl>
  </w:abstractNum>
  <w:abstractNum w:abstractNumId="1">
    <w:nsid w:val="B5E306ED"/>
    <w:multiLevelType w:val="multilevel"/>
    <w:tmpl w:val="B5E306ED"/>
    <w:lvl w:ilvl="0" w:tentative="0">
      <w:start w:val="1"/>
      <w:numFmt w:val="chineseCountingThousand"/>
      <w:lvlText w:val="(%1)"/>
      <w:lvlJc w:val="left"/>
      <w:pPr>
        <w:ind w:left="1272"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2">
    <w:nsid w:val="BF205925"/>
    <w:multiLevelType w:val="multilevel"/>
    <w:tmpl w:val="BF205925"/>
    <w:lvl w:ilvl="0" w:tentative="0">
      <w:start w:val="1"/>
      <w:numFmt w:val="decimal"/>
      <w:pStyle w:val="659"/>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pStyle w:val="658"/>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3">
    <w:nsid w:val="C88300F3"/>
    <w:multiLevelType w:val="singleLevel"/>
    <w:tmpl w:val="C88300F3"/>
    <w:lvl w:ilvl="0" w:tentative="0">
      <w:start w:val="1"/>
      <w:numFmt w:val="decimal"/>
      <w:suff w:val="space"/>
      <w:lvlText w:val="%1."/>
      <w:lvlJc w:val="left"/>
    </w:lvl>
  </w:abstractNum>
  <w:abstractNum w:abstractNumId="4">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70"/>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5">
    <w:nsid w:val="0053208E"/>
    <w:multiLevelType w:val="multilevel"/>
    <w:tmpl w:val="0053208E"/>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69"/>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DA950DC"/>
    <w:multiLevelType w:val="multilevel"/>
    <w:tmpl w:val="0DA950DC"/>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25B654F3"/>
    <w:multiLevelType w:val="multilevel"/>
    <w:tmpl w:val="25B654F3"/>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B09ECE2"/>
    <w:multiLevelType w:val="singleLevel"/>
    <w:tmpl w:val="2B09ECE2"/>
    <w:lvl w:ilvl="0" w:tentative="0">
      <w:start w:val="1"/>
      <w:numFmt w:val="lowerLetter"/>
      <w:suff w:val="space"/>
      <w:lvlText w:val="%1."/>
      <w:lvlJc w:val="left"/>
    </w:lvl>
  </w:abstractNum>
  <w:abstractNum w:abstractNumId="12">
    <w:nsid w:val="2EC7BD58"/>
    <w:multiLevelType w:val="singleLevel"/>
    <w:tmpl w:val="2EC7BD58"/>
    <w:lvl w:ilvl="0" w:tentative="0">
      <w:start w:val="1"/>
      <w:numFmt w:val="decimal"/>
      <w:lvlText w:val="%1."/>
      <w:lvlJc w:val="left"/>
      <w:pPr>
        <w:tabs>
          <w:tab w:val="left" w:pos="312"/>
        </w:tabs>
      </w:pPr>
    </w:lvl>
  </w:abstractNum>
  <w:abstractNum w:abstractNumId="13">
    <w:nsid w:val="34A31BC8"/>
    <w:multiLevelType w:val="multilevel"/>
    <w:tmpl w:val="34A31BC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bullet"/>
      <w:pStyle w:val="510"/>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4"/>
  </w:num>
  <w:num w:numId="4">
    <w:abstractNumId w:val="2"/>
  </w:num>
  <w:num w:numId="5">
    <w:abstractNumId w:val="1"/>
  </w:num>
  <w:num w:numId="6">
    <w:abstractNumId w:val="7"/>
  </w:num>
  <w:num w:numId="7">
    <w:abstractNumId w:val="9"/>
  </w:num>
  <w:num w:numId="8">
    <w:abstractNumId w:val="15"/>
  </w:num>
  <w:num w:numId="9">
    <w:abstractNumId w:val="6"/>
  </w:num>
  <w:num w:numId="10">
    <w:abstractNumId w:val="11"/>
  </w:num>
  <w:num w:numId="11">
    <w:abstractNumId w:val="12"/>
  </w:num>
  <w:num w:numId="12">
    <w:abstractNumId w:val="10"/>
  </w:num>
  <w:num w:numId="13">
    <w:abstractNumId w:val="3"/>
  </w:num>
  <w:num w:numId="14">
    <w:abstractNumId w:val="0"/>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420"/>
  <w:characterSpacingControl w:val="doNotCompress"/>
  <w:footnotePr>
    <w:footnote w:id="2"/>
    <w:footnote w:id="3"/>
  </w:foot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03026"/>
    <w:rsid w:val="01730963"/>
    <w:rsid w:val="03A1676C"/>
    <w:rsid w:val="03BE07F6"/>
    <w:rsid w:val="08A22E66"/>
    <w:rsid w:val="09746495"/>
    <w:rsid w:val="0D466B4A"/>
    <w:rsid w:val="16104199"/>
    <w:rsid w:val="169C5A2D"/>
    <w:rsid w:val="16CA2F1C"/>
    <w:rsid w:val="16EC1787"/>
    <w:rsid w:val="17B31280"/>
    <w:rsid w:val="18DF1991"/>
    <w:rsid w:val="19A215AC"/>
    <w:rsid w:val="1CFF0AC4"/>
    <w:rsid w:val="1EC16A83"/>
    <w:rsid w:val="203B0065"/>
    <w:rsid w:val="21E27A2A"/>
    <w:rsid w:val="241A2A47"/>
    <w:rsid w:val="25D54AB7"/>
    <w:rsid w:val="279A1B15"/>
    <w:rsid w:val="280D678A"/>
    <w:rsid w:val="33D463AE"/>
    <w:rsid w:val="34FF56AD"/>
    <w:rsid w:val="360D204B"/>
    <w:rsid w:val="38321919"/>
    <w:rsid w:val="3BA373A8"/>
    <w:rsid w:val="3EC6100D"/>
    <w:rsid w:val="40075342"/>
    <w:rsid w:val="45FD1795"/>
    <w:rsid w:val="46235C03"/>
    <w:rsid w:val="464A0752"/>
    <w:rsid w:val="46D1677D"/>
    <w:rsid w:val="49790072"/>
    <w:rsid w:val="4D536CE8"/>
    <w:rsid w:val="4EBD5A47"/>
    <w:rsid w:val="507B7DCF"/>
    <w:rsid w:val="50B74C36"/>
    <w:rsid w:val="514E07A1"/>
    <w:rsid w:val="52BE6086"/>
    <w:rsid w:val="52CF44B9"/>
    <w:rsid w:val="52F76B0B"/>
    <w:rsid w:val="544B5DC1"/>
    <w:rsid w:val="54EF5387"/>
    <w:rsid w:val="56D41079"/>
    <w:rsid w:val="573F0BFC"/>
    <w:rsid w:val="59D32AE1"/>
    <w:rsid w:val="5C5650CC"/>
    <w:rsid w:val="5D1A27D4"/>
    <w:rsid w:val="5F683CCB"/>
    <w:rsid w:val="66246472"/>
    <w:rsid w:val="69466C5D"/>
    <w:rsid w:val="6CE07597"/>
    <w:rsid w:val="70534CFF"/>
    <w:rsid w:val="74501460"/>
    <w:rsid w:val="74767B94"/>
    <w:rsid w:val="78CF4963"/>
    <w:rsid w:val="78DC41CE"/>
    <w:rsid w:val="7BB35E76"/>
    <w:rsid w:val="7BE911D7"/>
    <w:rsid w:val="7CAB3699"/>
    <w:rsid w:val="7D545CDE"/>
    <w:rsid w:val="7D8555F0"/>
    <w:rsid w:val="7F5D2DC8"/>
    <w:rsid w:val="7FA400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9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9"/>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00"/>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0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02"/>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rPr>
      <w:color w:val="000000" w:themeColor="text1"/>
      <w:szCs w:val="24"/>
      <w14:textFill>
        <w14:solidFill>
          <w14:schemeClr w14:val="tx1"/>
        </w14:solidFill>
      </w14:textFill>
    </w:rPr>
  </w:style>
  <w:style w:type="paragraph" w:customStyle="1" w:styleId="1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styleId="16">
    <w:name w:val="Block Text"/>
    <w:basedOn w:val="1"/>
    <w:semiHidden/>
    <w:unhideWhenUsed/>
    <w:qFormat/>
    <w:uiPriority w:val="99"/>
    <w:pPr>
      <w:spacing w:after="120"/>
      <w:ind w:left="1440" w:leftChars="700" w:right="1440" w:rightChars="7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18"/>
    <w:semiHidden/>
    <w:unhideWhenUsed/>
    <w:qFormat/>
    <w:uiPriority w:val="99"/>
    <w:rPr>
      <w:sz w:val="20"/>
    </w:rPr>
  </w:style>
  <w:style w:type="paragraph" w:styleId="21">
    <w:name w:val="footer"/>
    <w:basedOn w:val="1"/>
    <w:link w:val="110"/>
    <w:unhideWhenUsed/>
    <w:qFormat/>
    <w:uiPriority w:val="99"/>
    <w:pPr>
      <w:tabs>
        <w:tab w:val="center" w:pos="7143"/>
        <w:tab w:val="right" w:pos="14287"/>
      </w:tabs>
    </w:pPr>
  </w:style>
  <w:style w:type="paragraph" w:styleId="22">
    <w:name w:val="header"/>
    <w:basedOn w:val="1"/>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105"/>
    <w:qFormat/>
    <w:uiPriority w:val="11"/>
    <w:pPr>
      <w:spacing w:before="200" w:after="200"/>
    </w:pPr>
    <w:rPr>
      <w:sz w:val="24"/>
      <w:szCs w:val="24"/>
    </w:rPr>
  </w:style>
  <w:style w:type="paragraph" w:styleId="26">
    <w:name w:val="footnote text"/>
    <w:basedOn w:val="1"/>
    <w:link w:val="217"/>
    <w:unhideWhenUsed/>
    <w:qFormat/>
    <w:uiPriority w:val="0"/>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32">
    <w:name w:val="Title"/>
    <w:basedOn w:val="1"/>
    <w:next w:val="1"/>
    <w:link w:val="104"/>
    <w:qFormat/>
    <w:uiPriority w:val="10"/>
    <w:pPr>
      <w:spacing w:before="300" w:after="200"/>
      <w:contextualSpacing/>
    </w:pPr>
    <w:rPr>
      <w:sz w:val="48"/>
      <w:szCs w:val="48"/>
    </w:rPr>
  </w:style>
  <w:style w:type="paragraph" w:styleId="33">
    <w:name w:val="Body Text First Indent"/>
    <w:basedOn w:val="14"/>
    <w:unhideWhenUsed/>
    <w:qFormat/>
    <w:uiPriority w:val="99"/>
    <w:pPr>
      <w:ind w:firstLine="420" w:firstLineChars="100"/>
    </w:p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basedOn w:val="36"/>
    <w:semiHidden/>
    <w:unhideWhenUsed/>
    <w:qFormat/>
    <w:uiPriority w:val="99"/>
    <w:rPr>
      <w:sz w:val="21"/>
      <w:szCs w:val="21"/>
    </w:rPr>
  </w:style>
  <w:style w:type="character" w:styleId="40">
    <w:name w:val="footnote reference"/>
    <w:unhideWhenUsed/>
    <w:qFormat/>
    <w:uiPriority w:val="0"/>
    <w:rPr>
      <w:vertAlign w:val="superscript"/>
    </w:rPr>
  </w:style>
  <w:style w:type="table" w:customStyle="1" w:styleId="41">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2">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3">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6">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7">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8">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9">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1">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2">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3">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4">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5">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6">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7">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8">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9">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0">
    <w:name w:val="TOC Heading"/>
    <w:unhideWhenUsed/>
    <w:qFormat/>
    <w:uiPriority w:val="39"/>
    <w:rPr>
      <w:rFonts w:hint="default" w:ascii="Times New Roman" w:hAnsi="Times New Roman" w:eastAsia="宋体" w:cs="Times New Roman"/>
    </w:rPr>
  </w:style>
  <w:style w:type="paragraph" w:customStyle="1" w:styleId="61">
    <w:name w:val="样式1"/>
    <w:basedOn w:val="62"/>
    <w:next w:val="1"/>
    <w:qFormat/>
    <w:uiPriority w:val="0"/>
    <w:pPr>
      <w:tabs>
        <w:tab w:val="left" w:pos="0"/>
        <w:tab w:val="left" w:pos="840"/>
      </w:tabs>
    </w:pPr>
    <w:rPr>
      <w:rFonts w:ascii="Arial" w:hAnsi="Arial" w:eastAsia="幼圆" w:cs="Arial"/>
      <w:sz w:val="24"/>
      <w:szCs w:val="20"/>
    </w:rPr>
  </w:style>
  <w:style w:type="paragraph" w:customStyle="1" w:styleId="62">
    <w:name w:val="列表编号1"/>
    <w:basedOn w:val="1"/>
    <w:qFormat/>
    <w:uiPriority w:val="0"/>
    <w:pPr>
      <w:tabs>
        <w:tab w:val="left" w:pos="0"/>
        <w:tab w:val="left" w:pos="840"/>
      </w:tabs>
      <w:spacing w:line="360" w:lineRule="auto"/>
    </w:pPr>
  </w:style>
  <w:style w:type="character" w:customStyle="1" w:styleId="63">
    <w:name w:val="Heading 1 Char"/>
    <w:basedOn w:val="36"/>
    <w:qFormat/>
    <w:uiPriority w:val="9"/>
    <w:rPr>
      <w:rFonts w:ascii="Arial" w:hAnsi="Arial" w:eastAsia="Arial" w:cs="Arial"/>
      <w:sz w:val="40"/>
      <w:szCs w:val="40"/>
    </w:rPr>
  </w:style>
  <w:style w:type="character" w:customStyle="1" w:styleId="64">
    <w:name w:val="Heading 5 Char"/>
    <w:basedOn w:val="36"/>
    <w:qFormat/>
    <w:uiPriority w:val="9"/>
    <w:rPr>
      <w:rFonts w:ascii="Arial" w:hAnsi="Arial" w:eastAsia="Arial" w:cs="Arial"/>
      <w:b/>
      <w:bCs/>
      <w:sz w:val="24"/>
      <w:szCs w:val="24"/>
    </w:rPr>
  </w:style>
  <w:style w:type="character" w:customStyle="1" w:styleId="65">
    <w:name w:val="Heading 6 Char"/>
    <w:basedOn w:val="36"/>
    <w:qFormat/>
    <w:uiPriority w:val="9"/>
    <w:rPr>
      <w:rFonts w:ascii="Arial" w:hAnsi="Arial" w:eastAsia="Arial" w:cs="Arial"/>
      <w:b/>
      <w:bCs/>
      <w:sz w:val="22"/>
      <w:szCs w:val="22"/>
    </w:rPr>
  </w:style>
  <w:style w:type="character" w:customStyle="1" w:styleId="66">
    <w:name w:val="Heading 7 Char"/>
    <w:basedOn w:val="36"/>
    <w:qFormat/>
    <w:uiPriority w:val="9"/>
    <w:rPr>
      <w:rFonts w:ascii="Arial" w:hAnsi="Arial" w:eastAsia="Arial" w:cs="Arial"/>
      <w:b/>
      <w:bCs/>
      <w:i/>
      <w:iCs/>
      <w:sz w:val="22"/>
      <w:szCs w:val="22"/>
    </w:rPr>
  </w:style>
  <w:style w:type="character" w:customStyle="1" w:styleId="67">
    <w:name w:val="Heading 8 Char"/>
    <w:basedOn w:val="36"/>
    <w:qFormat/>
    <w:uiPriority w:val="9"/>
    <w:rPr>
      <w:rFonts w:ascii="Arial" w:hAnsi="Arial" w:eastAsia="Arial" w:cs="Arial"/>
      <w:i/>
      <w:iCs/>
      <w:sz w:val="22"/>
      <w:szCs w:val="22"/>
    </w:rPr>
  </w:style>
  <w:style w:type="character" w:customStyle="1" w:styleId="68">
    <w:name w:val="Heading 9 Char"/>
    <w:basedOn w:val="36"/>
    <w:qFormat/>
    <w:uiPriority w:val="9"/>
    <w:rPr>
      <w:rFonts w:ascii="Arial" w:hAnsi="Arial" w:eastAsia="Arial" w:cs="Arial"/>
      <w:i/>
      <w:iCs/>
      <w:sz w:val="21"/>
      <w:szCs w:val="21"/>
    </w:rPr>
  </w:style>
  <w:style w:type="character" w:customStyle="1" w:styleId="69">
    <w:name w:val="Title Char"/>
    <w:basedOn w:val="36"/>
    <w:qFormat/>
    <w:uiPriority w:val="10"/>
    <w:rPr>
      <w:sz w:val="48"/>
      <w:szCs w:val="48"/>
    </w:rPr>
  </w:style>
  <w:style w:type="character" w:customStyle="1" w:styleId="70">
    <w:name w:val="Subtitle Char"/>
    <w:basedOn w:val="36"/>
    <w:qFormat/>
    <w:uiPriority w:val="11"/>
    <w:rPr>
      <w:sz w:val="24"/>
      <w:szCs w:val="24"/>
    </w:rPr>
  </w:style>
  <w:style w:type="character" w:customStyle="1" w:styleId="71">
    <w:name w:val="Quote Char"/>
    <w:qFormat/>
    <w:uiPriority w:val="29"/>
    <w:rPr>
      <w:i/>
    </w:rPr>
  </w:style>
  <w:style w:type="character" w:customStyle="1" w:styleId="72">
    <w:name w:val="Intense Quote Char"/>
    <w:qFormat/>
    <w:uiPriority w:val="30"/>
    <w:rPr>
      <w:i/>
    </w:rPr>
  </w:style>
  <w:style w:type="character" w:customStyle="1" w:styleId="73">
    <w:name w:val="Caption Char"/>
    <w:qFormat/>
    <w:uiPriority w:val="99"/>
  </w:style>
  <w:style w:type="table" w:customStyle="1" w:styleId="74">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34"/>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34"/>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34"/>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4">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清单表 1 浅色1"/>
    <w:basedOn w:val="34"/>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7">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9">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0">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1">
    <w:name w:val="清单表 6 彩色1"/>
    <w:basedOn w:val="34"/>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2">
    <w:name w:val="清单表 7 彩色1"/>
    <w:basedOn w:val="34"/>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3">
    <w:name w:val="Footnote Text Char"/>
    <w:qFormat/>
    <w:uiPriority w:val="99"/>
    <w:rPr>
      <w:sz w:val="18"/>
    </w:rPr>
  </w:style>
  <w:style w:type="character" w:customStyle="1" w:styleId="94">
    <w:name w:val="Endnote Text Char"/>
    <w:qFormat/>
    <w:uiPriority w:val="99"/>
    <w:rPr>
      <w:sz w:val="20"/>
    </w:rPr>
  </w:style>
  <w:style w:type="paragraph" w:customStyle="1" w:styleId="95">
    <w:name w:val="TOC 标题1"/>
    <w:unhideWhenUsed/>
    <w:qFormat/>
    <w:uiPriority w:val="39"/>
    <w:rPr>
      <w:rFonts w:hint="default" w:ascii="Times New Roman" w:hAnsi="Times New Roman" w:eastAsia="宋体" w:cs="Times New Roman"/>
      <w:lang w:val="en-US" w:eastAsia="zh-CN" w:bidi="ar-SA"/>
    </w:rPr>
  </w:style>
  <w:style w:type="paragraph" w:customStyle="1" w:styleId="96">
    <w:name w:val="正文文本1"/>
    <w:basedOn w:val="1"/>
    <w:next w:val="1"/>
    <w:link w:val="231"/>
    <w:qFormat/>
    <w:uiPriority w:val="0"/>
    <w:pPr>
      <w:spacing w:line="60" w:lineRule="auto"/>
    </w:pPr>
    <w:rPr>
      <w:rFonts w:ascii="仿宋_GB2312" w:eastAsia="仿宋_GB2312"/>
      <w:sz w:val="32"/>
    </w:rPr>
  </w:style>
  <w:style w:type="character" w:customStyle="1" w:styleId="97">
    <w:name w:val="标题 1 字符1"/>
    <w:link w:val="2"/>
    <w:qFormat/>
    <w:uiPriority w:val="9"/>
    <w:rPr>
      <w:rFonts w:ascii="Arial" w:hAnsi="Arial" w:eastAsia="Arial" w:cs="Arial"/>
      <w:sz w:val="40"/>
      <w:szCs w:val="40"/>
    </w:rPr>
  </w:style>
  <w:style w:type="character" w:customStyle="1" w:styleId="98">
    <w:name w:val="标题 5 字符"/>
    <w:link w:val="6"/>
    <w:qFormat/>
    <w:uiPriority w:val="9"/>
    <w:rPr>
      <w:rFonts w:ascii="Arial" w:hAnsi="Arial" w:eastAsia="Arial" w:cs="Arial"/>
      <w:b/>
      <w:bCs/>
      <w:sz w:val="24"/>
      <w:szCs w:val="24"/>
    </w:rPr>
  </w:style>
  <w:style w:type="character" w:customStyle="1" w:styleId="99">
    <w:name w:val="标题 6 字符"/>
    <w:link w:val="7"/>
    <w:qFormat/>
    <w:uiPriority w:val="9"/>
    <w:rPr>
      <w:rFonts w:ascii="Arial" w:hAnsi="Arial" w:eastAsia="Arial" w:cs="Arial"/>
      <w:b/>
      <w:bCs/>
      <w:sz w:val="22"/>
      <w:szCs w:val="22"/>
    </w:rPr>
  </w:style>
  <w:style w:type="character" w:customStyle="1" w:styleId="100">
    <w:name w:val="标题 7 字符"/>
    <w:link w:val="8"/>
    <w:qFormat/>
    <w:uiPriority w:val="9"/>
    <w:rPr>
      <w:rFonts w:ascii="Arial" w:hAnsi="Arial" w:eastAsia="Arial" w:cs="Arial"/>
      <w:b/>
      <w:bCs/>
      <w:i/>
      <w:iCs/>
      <w:sz w:val="22"/>
      <w:szCs w:val="22"/>
    </w:rPr>
  </w:style>
  <w:style w:type="character" w:customStyle="1" w:styleId="101">
    <w:name w:val="标题 8 字符"/>
    <w:link w:val="9"/>
    <w:qFormat/>
    <w:uiPriority w:val="9"/>
    <w:rPr>
      <w:rFonts w:ascii="Arial" w:hAnsi="Arial" w:eastAsia="Arial" w:cs="Arial"/>
      <w:i/>
      <w:iCs/>
      <w:sz w:val="22"/>
      <w:szCs w:val="22"/>
    </w:rPr>
  </w:style>
  <w:style w:type="character" w:customStyle="1" w:styleId="102">
    <w:name w:val="标题 9 字符"/>
    <w:link w:val="10"/>
    <w:qFormat/>
    <w:uiPriority w:val="9"/>
    <w:rPr>
      <w:rFonts w:ascii="Arial" w:hAnsi="Arial" w:eastAsia="Arial" w:cs="Arial"/>
      <w:i/>
      <w:iCs/>
      <w:sz w:val="21"/>
      <w:szCs w:val="21"/>
    </w:rPr>
  </w:style>
  <w:style w:type="paragraph" w:styleId="103">
    <w:name w:val="No Spacing"/>
    <w:qFormat/>
    <w:uiPriority w:val="1"/>
    <w:rPr>
      <w:rFonts w:hint="default" w:ascii="Times New Roman" w:hAnsi="Times New Roman" w:eastAsia="宋体" w:cs="Times New Roman"/>
      <w:lang w:val="en-US" w:eastAsia="zh-CN" w:bidi="ar-SA"/>
    </w:rPr>
  </w:style>
  <w:style w:type="character" w:customStyle="1" w:styleId="104">
    <w:name w:val="标题 字符"/>
    <w:link w:val="32"/>
    <w:qFormat/>
    <w:uiPriority w:val="10"/>
    <w:rPr>
      <w:sz w:val="48"/>
      <w:szCs w:val="48"/>
    </w:rPr>
  </w:style>
  <w:style w:type="character" w:customStyle="1" w:styleId="105">
    <w:name w:val="副标题 字符"/>
    <w:link w:val="25"/>
    <w:qFormat/>
    <w:uiPriority w:val="11"/>
    <w:rPr>
      <w:sz w:val="24"/>
      <w:szCs w:val="24"/>
    </w:rPr>
  </w:style>
  <w:style w:type="paragraph" w:styleId="106">
    <w:name w:val="Quote"/>
    <w:basedOn w:val="1"/>
    <w:next w:val="1"/>
    <w:link w:val="107"/>
    <w:qFormat/>
    <w:uiPriority w:val="29"/>
    <w:pPr>
      <w:ind w:left="720" w:right="720"/>
    </w:pPr>
    <w:rPr>
      <w:i/>
    </w:rPr>
  </w:style>
  <w:style w:type="character" w:customStyle="1" w:styleId="107">
    <w:name w:val="引用 字符"/>
    <w:link w:val="106"/>
    <w:qFormat/>
    <w:uiPriority w:val="29"/>
    <w:rPr>
      <w:i/>
    </w:rPr>
  </w:style>
  <w:style w:type="paragraph" w:styleId="108">
    <w:name w:val="Intense Quote"/>
    <w:basedOn w:val="1"/>
    <w:next w:val="1"/>
    <w:link w:val="1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9">
    <w:name w:val="明显引用 字符"/>
    <w:link w:val="108"/>
    <w:qFormat/>
    <w:uiPriority w:val="30"/>
    <w:rPr>
      <w:i/>
    </w:rPr>
  </w:style>
  <w:style w:type="character" w:customStyle="1" w:styleId="110">
    <w:name w:val="页脚 字符1"/>
    <w:link w:val="21"/>
    <w:qFormat/>
    <w:uiPriority w:val="99"/>
  </w:style>
  <w:style w:type="table" w:customStyle="1" w:styleId="11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脚注文本 字符"/>
    <w:link w:val="26"/>
    <w:qFormat/>
    <w:uiPriority w:val="0"/>
    <w:rPr>
      <w:sz w:val="18"/>
    </w:rPr>
  </w:style>
  <w:style w:type="character" w:customStyle="1" w:styleId="218">
    <w:name w:val="尾注文本 字符"/>
    <w:link w:val="20"/>
    <w:qFormat/>
    <w:uiPriority w:val="99"/>
    <w:rPr>
      <w:sz w:val="20"/>
    </w:rPr>
  </w:style>
  <w:style w:type="paragraph" w:customStyle="1" w:styleId="219">
    <w:name w:val="TOC 标题11"/>
    <w:unhideWhenUsed/>
    <w:qFormat/>
    <w:uiPriority w:val="39"/>
    <w:rPr>
      <w:rFonts w:hint="default" w:ascii="Times New Roman" w:hAnsi="Times New Roman" w:eastAsia="宋体" w:cs="Times New Roman"/>
      <w:lang w:val="en-US" w:eastAsia="zh-CN" w:bidi="ar-SA"/>
    </w:rPr>
  </w:style>
  <w:style w:type="paragraph" w:customStyle="1" w:styleId="220">
    <w:name w:val="标题 11"/>
    <w:basedOn w:val="1"/>
    <w:next w:val="1"/>
    <w:link w:val="232"/>
    <w:qFormat/>
    <w:uiPriority w:val="0"/>
    <w:pPr>
      <w:keepNext/>
      <w:keepLines/>
      <w:spacing w:before="340" w:after="330" w:line="576" w:lineRule="auto"/>
      <w:outlineLvl w:val="0"/>
    </w:pPr>
    <w:rPr>
      <w:b/>
      <w:sz w:val="44"/>
      <w:szCs w:val="20"/>
    </w:rPr>
  </w:style>
  <w:style w:type="paragraph" w:customStyle="1" w:styleId="221">
    <w:name w:val="标题 21"/>
    <w:basedOn w:val="1"/>
    <w:next w:val="1"/>
    <w:link w:val="233"/>
    <w:qFormat/>
    <w:uiPriority w:val="0"/>
    <w:pPr>
      <w:keepNext/>
      <w:keepLines/>
      <w:spacing w:before="260" w:after="260" w:line="413" w:lineRule="auto"/>
      <w:outlineLvl w:val="1"/>
    </w:pPr>
    <w:rPr>
      <w:rFonts w:ascii="Arial" w:hAnsi="Arial" w:eastAsia="黑体"/>
      <w:b/>
      <w:sz w:val="32"/>
      <w:szCs w:val="20"/>
    </w:rPr>
  </w:style>
  <w:style w:type="paragraph" w:customStyle="1" w:styleId="222">
    <w:name w:val="标题 31"/>
    <w:basedOn w:val="1"/>
    <w:next w:val="1"/>
    <w:link w:val="234"/>
    <w:qFormat/>
    <w:uiPriority w:val="0"/>
    <w:pPr>
      <w:keepNext/>
      <w:keepLines/>
      <w:spacing w:before="260" w:after="260" w:line="413" w:lineRule="auto"/>
      <w:outlineLvl w:val="2"/>
    </w:pPr>
    <w:rPr>
      <w:b/>
      <w:sz w:val="32"/>
      <w:szCs w:val="20"/>
    </w:rPr>
  </w:style>
  <w:style w:type="paragraph" w:customStyle="1" w:styleId="223">
    <w:name w:val="标题 41"/>
    <w:basedOn w:val="1"/>
    <w:next w:val="1"/>
    <w:link w:val="235"/>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24">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25">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26">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27">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28">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29">
    <w:name w:val="默认段落字体1"/>
    <w:unhideWhenUsed/>
    <w:qFormat/>
    <w:uiPriority w:val="1"/>
  </w:style>
  <w:style w:type="table" w:customStyle="1" w:styleId="230">
    <w:name w:val="普通表格1"/>
    <w:semiHidden/>
    <w:qFormat/>
    <w:uiPriority w:val="0"/>
    <w:tblPr>
      <w:tblCellMar>
        <w:top w:w="0" w:type="dxa"/>
        <w:left w:w="0" w:type="dxa"/>
        <w:bottom w:w="0" w:type="dxa"/>
        <w:right w:w="0" w:type="dxa"/>
      </w:tblCellMar>
    </w:tblPr>
  </w:style>
  <w:style w:type="character" w:customStyle="1" w:styleId="231">
    <w:name w:val="正文文本 字符"/>
    <w:link w:val="96"/>
    <w:qFormat/>
    <w:uiPriority w:val="0"/>
    <w:rPr>
      <w:rFonts w:ascii="仿宋_GB2312" w:eastAsia="仿宋_GB2312"/>
      <w:sz w:val="32"/>
      <w:szCs w:val="22"/>
    </w:rPr>
  </w:style>
  <w:style w:type="character" w:customStyle="1" w:styleId="232">
    <w:name w:val="标题 1 字符"/>
    <w:link w:val="220"/>
    <w:qFormat/>
    <w:uiPriority w:val="9"/>
    <w:rPr>
      <w:b/>
      <w:sz w:val="44"/>
    </w:rPr>
  </w:style>
  <w:style w:type="character" w:customStyle="1" w:styleId="233">
    <w:name w:val="标题 2 字符"/>
    <w:link w:val="221"/>
    <w:qFormat/>
    <w:uiPriority w:val="9"/>
    <w:rPr>
      <w:rFonts w:ascii="Arial" w:hAnsi="Arial" w:eastAsia="黑体"/>
      <w:b/>
      <w:sz w:val="32"/>
    </w:rPr>
  </w:style>
  <w:style w:type="character" w:customStyle="1" w:styleId="234">
    <w:name w:val="标题 3 字符"/>
    <w:link w:val="222"/>
    <w:qFormat/>
    <w:uiPriority w:val="0"/>
    <w:rPr>
      <w:b/>
      <w:sz w:val="32"/>
    </w:rPr>
  </w:style>
  <w:style w:type="character" w:customStyle="1" w:styleId="235">
    <w:name w:val="标题 4 字符"/>
    <w:link w:val="223"/>
    <w:qFormat/>
    <w:uiPriority w:val="0"/>
    <w:rPr>
      <w:rFonts w:ascii="宋体" w:eastAsia="宋体"/>
      <w:color w:val="800000"/>
      <w:sz w:val="28"/>
      <w:lang w:val="en-US" w:eastAsia="zh-CN" w:bidi="ar-SA"/>
    </w:rPr>
  </w:style>
  <w:style w:type="paragraph" w:customStyle="1" w:styleId="236">
    <w:name w:val="目录 71"/>
    <w:basedOn w:val="1"/>
    <w:next w:val="1"/>
    <w:qFormat/>
    <w:uiPriority w:val="0"/>
    <w:pPr>
      <w:ind w:left="1260"/>
      <w:jc w:val="left"/>
    </w:pPr>
    <w:rPr>
      <w:rFonts w:ascii="Calibri" w:hAnsi="Calibri" w:cs="Calibri"/>
      <w:sz w:val="18"/>
      <w:szCs w:val="18"/>
    </w:rPr>
  </w:style>
  <w:style w:type="paragraph" w:customStyle="1" w:styleId="237">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38">
    <w:name w:val="索引 81"/>
    <w:basedOn w:val="1"/>
    <w:next w:val="1"/>
    <w:qFormat/>
    <w:uiPriority w:val="0"/>
    <w:pPr>
      <w:ind w:left="1400"/>
    </w:pPr>
    <w:rPr>
      <w:rFonts w:ascii="Calibri" w:hAnsi="Calibri"/>
    </w:rPr>
  </w:style>
  <w:style w:type="paragraph" w:customStyle="1" w:styleId="239">
    <w:name w:val="正文缩进11"/>
    <w:basedOn w:val="1"/>
    <w:qFormat/>
    <w:uiPriority w:val="0"/>
    <w:pPr>
      <w:ind w:firstLine="420"/>
    </w:pPr>
    <w:rPr>
      <w:rFonts w:ascii="宋体"/>
      <w:color w:val="000000"/>
      <w:sz w:val="24"/>
      <w:szCs w:val="20"/>
    </w:rPr>
  </w:style>
  <w:style w:type="paragraph" w:customStyle="1" w:styleId="240">
    <w:name w:val="题注1"/>
    <w:basedOn w:val="1"/>
    <w:next w:val="1"/>
    <w:link w:val="241"/>
    <w:qFormat/>
    <w:uiPriority w:val="0"/>
    <w:pPr>
      <w:tabs>
        <w:tab w:val="left" w:pos="0"/>
      </w:tabs>
      <w:spacing w:line="360" w:lineRule="auto"/>
    </w:pPr>
    <w:rPr>
      <w:rFonts w:ascii="Arial" w:hAnsi="Arial" w:eastAsia="黑体"/>
      <w:sz w:val="20"/>
      <w:szCs w:val="20"/>
    </w:rPr>
  </w:style>
  <w:style w:type="character" w:customStyle="1" w:styleId="241">
    <w:name w:val="题注 字符"/>
    <w:link w:val="240"/>
    <w:qFormat/>
    <w:uiPriority w:val="0"/>
    <w:rPr>
      <w:rFonts w:ascii="Arial" w:hAnsi="Arial" w:eastAsia="黑体" w:cs="Arial"/>
    </w:rPr>
  </w:style>
  <w:style w:type="paragraph" w:customStyle="1" w:styleId="242">
    <w:name w:val="索引 51"/>
    <w:basedOn w:val="1"/>
    <w:next w:val="1"/>
    <w:qFormat/>
    <w:uiPriority w:val="0"/>
    <w:pPr>
      <w:ind w:left="800"/>
    </w:pPr>
    <w:rPr>
      <w:rFonts w:ascii="Calibri" w:hAnsi="Calibri"/>
    </w:rPr>
  </w:style>
  <w:style w:type="paragraph" w:customStyle="1" w:styleId="243">
    <w:name w:val="列表项目符号1"/>
    <w:basedOn w:val="1"/>
    <w:qFormat/>
    <w:uiPriority w:val="0"/>
    <w:pPr>
      <w:tabs>
        <w:tab w:val="left" w:pos="840"/>
      </w:tabs>
      <w:spacing w:line="360" w:lineRule="auto"/>
      <w:ind w:left="962" w:hanging="480"/>
    </w:pPr>
    <w:rPr>
      <w:sz w:val="24"/>
    </w:rPr>
  </w:style>
  <w:style w:type="paragraph" w:customStyle="1" w:styleId="244">
    <w:name w:val="文档结构图1"/>
    <w:basedOn w:val="1"/>
    <w:qFormat/>
    <w:uiPriority w:val="0"/>
    <w:pPr>
      <w:shd w:val="clear" w:color="auto" w:fill="000080"/>
    </w:pPr>
  </w:style>
  <w:style w:type="paragraph" w:customStyle="1" w:styleId="245">
    <w:name w:val="批注文字1"/>
    <w:basedOn w:val="1"/>
    <w:link w:val="246"/>
    <w:qFormat/>
    <w:uiPriority w:val="99"/>
    <w:pPr>
      <w:jc w:val="left"/>
    </w:pPr>
    <w:rPr>
      <w:rFonts w:ascii="Calibri" w:hAnsi="Calibri"/>
      <w:szCs w:val="20"/>
    </w:rPr>
  </w:style>
  <w:style w:type="character" w:customStyle="1" w:styleId="246">
    <w:name w:val="批注文字 字符"/>
    <w:link w:val="245"/>
    <w:qFormat/>
    <w:uiPriority w:val="99"/>
    <w:rPr>
      <w:rFonts w:ascii="Calibri" w:hAnsi="Calibri" w:eastAsia="宋体" w:cs="Times New Roman"/>
      <w:sz w:val="21"/>
    </w:rPr>
  </w:style>
  <w:style w:type="paragraph" w:customStyle="1" w:styleId="247">
    <w:name w:val="索引 61"/>
    <w:basedOn w:val="1"/>
    <w:next w:val="1"/>
    <w:qFormat/>
    <w:uiPriority w:val="0"/>
    <w:pPr>
      <w:ind w:left="1000"/>
    </w:pPr>
    <w:rPr>
      <w:rFonts w:ascii="Calibri" w:hAnsi="Calibri"/>
    </w:rPr>
  </w:style>
  <w:style w:type="paragraph" w:customStyle="1" w:styleId="248">
    <w:name w:val="正文文本 31"/>
    <w:basedOn w:val="1"/>
    <w:qFormat/>
    <w:uiPriority w:val="0"/>
    <w:rPr>
      <w:color w:val="000000"/>
    </w:rPr>
  </w:style>
  <w:style w:type="paragraph" w:customStyle="1" w:styleId="249">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50">
    <w:name w:val="正文文本缩进11"/>
    <w:basedOn w:val="1"/>
    <w:next w:val="1"/>
    <w:qFormat/>
    <w:uiPriority w:val="0"/>
    <w:pPr>
      <w:ind w:firstLine="225"/>
    </w:pPr>
    <w:rPr>
      <w:rFonts w:ascii="仿宋_GB2312" w:eastAsia="仿宋_GB2312"/>
      <w:sz w:val="32"/>
    </w:rPr>
  </w:style>
  <w:style w:type="paragraph" w:customStyle="1" w:styleId="251">
    <w:name w:val="文本块1"/>
    <w:basedOn w:val="1"/>
    <w:qFormat/>
    <w:uiPriority w:val="0"/>
    <w:pPr>
      <w:spacing w:line="360" w:lineRule="exact"/>
      <w:ind w:left="1548" w:right="12" w:hanging="2405"/>
    </w:pPr>
    <w:rPr>
      <w:rFonts w:ascii="宋体"/>
      <w:bCs/>
      <w:sz w:val="28"/>
    </w:rPr>
  </w:style>
  <w:style w:type="paragraph" w:customStyle="1" w:styleId="252">
    <w:name w:val="列表项目符号 21"/>
    <w:basedOn w:val="1"/>
    <w:qFormat/>
    <w:uiPriority w:val="0"/>
    <w:pPr>
      <w:tabs>
        <w:tab w:val="left" w:pos="720"/>
      </w:tabs>
      <w:spacing w:line="360" w:lineRule="auto"/>
      <w:ind w:left="720" w:hanging="360"/>
    </w:pPr>
    <w:rPr>
      <w:sz w:val="24"/>
    </w:rPr>
  </w:style>
  <w:style w:type="paragraph" w:customStyle="1" w:styleId="253">
    <w:name w:val="HTML 地址1"/>
    <w:basedOn w:val="1"/>
    <w:qFormat/>
    <w:uiPriority w:val="0"/>
    <w:rPr>
      <w:i/>
      <w:iCs/>
    </w:rPr>
  </w:style>
  <w:style w:type="paragraph" w:customStyle="1" w:styleId="254">
    <w:name w:val="索引 41"/>
    <w:basedOn w:val="1"/>
    <w:next w:val="1"/>
    <w:qFormat/>
    <w:uiPriority w:val="0"/>
    <w:pPr>
      <w:ind w:left="600"/>
    </w:pPr>
    <w:rPr>
      <w:rFonts w:ascii="Calibri" w:hAnsi="Calibri"/>
    </w:rPr>
  </w:style>
  <w:style w:type="paragraph" w:customStyle="1" w:styleId="255">
    <w:name w:val="目录 51"/>
    <w:basedOn w:val="1"/>
    <w:next w:val="1"/>
    <w:qFormat/>
    <w:uiPriority w:val="0"/>
    <w:pPr>
      <w:ind w:left="840"/>
      <w:jc w:val="left"/>
    </w:pPr>
    <w:rPr>
      <w:rFonts w:ascii="Calibri" w:hAnsi="Calibri" w:cs="Calibri"/>
      <w:sz w:val="18"/>
      <w:szCs w:val="18"/>
    </w:rPr>
  </w:style>
  <w:style w:type="paragraph" w:customStyle="1" w:styleId="256">
    <w:name w:val="目录 31"/>
    <w:basedOn w:val="1"/>
    <w:next w:val="1"/>
    <w:qFormat/>
    <w:uiPriority w:val="39"/>
    <w:pPr>
      <w:ind w:left="420"/>
      <w:jc w:val="left"/>
    </w:pPr>
    <w:rPr>
      <w:rFonts w:ascii="Calibri" w:hAnsi="Calibri" w:cs="Calibri"/>
      <w:i/>
      <w:iCs/>
      <w:sz w:val="20"/>
      <w:szCs w:val="20"/>
    </w:rPr>
  </w:style>
  <w:style w:type="paragraph" w:customStyle="1" w:styleId="257">
    <w:name w:val="纯文本11"/>
    <w:basedOn w:val="1"/>
    <w:qFormat/>
    <w:uiPriority w:val="0"/>
    <w:rPr>
      <w:rFonts w:ascii="宋体"/>
      <w:szCs w:val="21"/>
    </w:rPr>
  </w:style>
  <w:style w:type="paragraph" w:customStyle="1" w:styleId="258">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59">
    <w:name w:val="目录 81"/>
    <w:basedOn w:val="1"/>
    <w:next w:val="1"/>
    <w:qFormat/>
    <w:uiPriority w:val="0"/>
    <w:pPr>
      <w:ind w:left="1470"/>
      <w:jc w:val="left"/>
    </w:pPr>
    <w:rPr>
      <w:rFonts w:ascii="Calibri" w:hAnsi="Calibri" w:cs="Calibri"/>
      <w:sz w:val="18"/>
      <w:szCs w:val="18"/>
    </w:rPr>
  </w:style>
  <w:style w:type="paragraph" w:customStyle="1" w:styleId="260">
    <w:name w:val="索引 31"/>
    <w:basedOn w:val="1"/>
    <w:next w:val="1"/>
    <w:qFormat/>
    <w:uiPriority w:val="0"/>
    <w:pPr>
      <w:ind w:left="400"/>
    </w:pPr>
    <w:rPr>
      <w:rFonts w:ascii="Calibri" w:hAnsi="Calibri"/>
    </w:rPr>
  </w:style>
  <w:style w:type="paragraph" w:customStyle="1" w:styleId="261">
    <w:name w:val="日期1"/>
    <w:basedOn w:val="1"/>
    <w:next w:val="1"/>
    <w:qFormat/>
    <w:uiPriority w:val="0"/>
    <w:pPr>
      <w:ind w:left="2500"/>
    </w:pPr>
  </w:style>
  <w:style w:type="paragraph" w:customStyle="1" w:styleId="262">
    <w:name w:val="正文文本缩进 21"/>
    <w:basedOn w:val="1"/>
    <w:qFormat/>
    <w:uiPriority w:val="0"/>
    <w:pPr>
      <w:spacing w:line="540" w:lineRule="exact"/>
      <w:ind w:firstLine="225"/>
      <w:jc w:val="left"/>
    </w:pPr>
    <w:rPr>
      <w:rFonts w:ascii="仿宋_GB2312" w:eastAsia="仿宋_GB2312"/>
      <w:sz w:val="32"/>
    </w:rPr>
  </w:style>
  <w:style w:type="paragraph" w:customStyle="1" w:styleId="263">
    <w:name w:val="尾注文本1"/>
    <w:basedOn w:val="1"/>
    <w:qFormat/>
    <w:uiPriority w:val="0"/>
    <w:pPr>
      <w:widowControl/>
      <w:jc w:val="left"/>
    </w:pPr>
    <w:rPr>
      <w:rFonts w:ascii="宋体"/>
      <w:bCs/>
      <w:szCs w:val="21"/>
    </w:rPr>
  </w:style>
  <w:style w:type="paragraph" w:customStyle="1" w:styleId="264">
    <w:name w:val="批注框文本1"/>
    <w:basedOn w:val="1"/>
    <w:qFormat/>
    <w:uiPriority w:val="0"/>
    <w:rPr>
      <w:sz w:val="18"/>
      <w:szCs w:val="20"/>
    </w:rPr>
  </w:style>
  <w:style w:type="paragraph" w:customStyle="1" w:styleId="265">
    <w:name w:val="页脚1"/>
    <w:basedOn w:val="1"/>
    <w:link w:val="266"/>
    <w:qFormat/>
    <w:uiPriority w:val="99"/>
    <w:pPr>
      <w:tabs>
        <w:tab w:val="center" w:pos="4153"/>
        <w:tab w:val="right" w:pos="8306"/>
      </w:tabs>
      <w:jc w:val="left"/>
    </w:pPr>
    <w:rPr>
      <w:rFonts w:ascii="Calibri" w:hAnsi="Calibri"/>
      <w:sz w:val="18"/>
      <w:szCs w:val="18"/>
    </w:rPr>
  </w:style>
  <w:style w:type="character" w:customStyle="1" w:styleId="266">
    <w:name w:val="页脚 字符"/>
    <w:link w:val="265"/>
    <w:qFormat/>
    <w:uiPriority w:val="99"/>
    <w:rPr>
      <w:rFonts w:ascii="Calibri" w:hAnsi="Calibri" w:eastAsia="宋体" w:cs="Times New Roman"/>
      <w:sz w:val="18"/>
      <w:szCs w:val="18"/>
    </w:rPr>
  </w:style>
  <w:style w:type="paragraph" w:customStyle="1" w:styleId="267">
    <w:name w:val="寄信人地址11"/>
    <w:basedOn w:val="1"/>
    <w:qFormat/>
    <w:uiPriority w:val="0"/>
    <w:rPr>
      <w:rFonts w:ascii="Arial" w:hAnsi="Arial"/>
    </w:rPr>
  </w:style>
  <w:style w:type="paragraph" w:customStyle="1" w:styleId="268">
    <w:name w:val="页眉1"/>
    <w:basedOn w:val="1"/>
    <w:link w:val="269"/>
    <w:qFormat/>
    <w:uiPriority w:val="99"/>
    <w:pPr>
      <w:pBdr>
        <w:bottom w:val="single" w:color="000000" w:sz="6" w:space="1"/>
      </w:pBdr>
      <w:tabs>
        <w:tab w:val="center" w:pos="4153"/>
        <w:tab w:val="right" w:pos="8306"/>
      </w:tabs>
      <w:jc w:val="center"/>
    </w:pPr>
    <w:rPr>
      <w:sz w:val="18"/>
      <w:szCs w:val="18"/>
    </w:rPr>
  </w:style>
  <w:style w:type="character" w:customStyle="1" w:styleId="269">
    <w:name w:val="页眉 字符"/>
    <w:link w:val="268"/>
    <w:qFormat/>
    <w:uiPriority w:val="99"/>
    <w:rPr>
      <w:sz w:val="18"/>
      <w:szCs w:val="18"/>
    </w:rPr>
  </w:style>
  <w:style w:type="paragraph" w:customStyle="1" w:styleId="270">
    <w:name w:val="目录 11"/>
    <w:basedOn w:val="1"/>
    <w:next w:val="1"/>
    <w:qFormat/>
    <w:uiPriority w:val="39"/>
    <w:pPr>
      <w:spacing w:before="120" w:after="120"/>
      <w:jc w:val="left"/>
    </w:pPr>
    <w:rPr>
      <w:rFonts w:ascii="Calibri" w:hAnsi="Calibri" w:cs="Calibri"/>
      <w:b/>
      <w:bCs/>
      <w:caps/>
      <w:sz w:val="20"/>
      <w:szCs w:val="20"/>
    </w:rPr>
  </w:style>
  <w:style w:type="paragraph" w:customStyle="1" w:styleId="271">
    <w:name w:val="目录 41"/>
    <w:basedOn w:val="1"/>
    <w:next w:val="1"/>
    <w:qFormat/>
    <w:uiPriority w:val="0"/>
    <w:pPr>
      <w:ind w:left="630"/>
      <w:jc w:val="left"/>
    </w:pPr>
    <w:rPr>
      <w:rFonts w:ascii="Calibri" w:hAnsi="Calibri" w:cs="Calibri"/>
      <w:sz w:val="18"/>
      <w:szCs w:val="18"/>
    </w:rPr>
  </w:style>
  <w:style w:type="paragraph" w:customStyle="1" w:styleId="272">
    <w:name w:val="索引标题1"/>
    <w:basedOn w:val="1"/>
    <w:next w:val="273"/>
    <w:qFormat/>
    <w:uiPriority w:val="0"/>
    <w:rPr>
      <w:rFonts w:ascii="Calibri" w:hAnsi="Calibri"/>
    </w:rPr>
  </w:style>
  <w:style w:type="paragraph" w:customStyle="1" w:styleId="273">
    <w:name w:val="索引 11"/>
    <w:basedOn w:val="1"/>
    <w:next w:val="1"/>
    <w:qFormat/>
    <w:uiPriority w:val="0"/>
    <w:rPr>
      <w:rFonts w:ascii="Calibri" w:hAnsi="Calibri"/>
    </w:rPr>
  </w:style>
  <w:style w:type="paragraph" w:customStyle="1" w:styleId="274">
    <w:name w:val="脚注文本1"/>
    <w:basedOn w:val="1"/>
    <w:qFormat/>
    <w:uiPriority w:val="0"/>
    <w:pPr>
      <w:jc w:val="left"/>
    </w:pPr>
    <w:rPr>
      <w:rFonts w:ascii="宋体"/>
      <w:bCs/>
      <w:sz w:val="18"/>
      <w:szCs w:val="18"/>
    </w:rPr>
  </w:style>
  <w:style w:type="paragraph" w:customStyle="1" w:styleId="275">
    <w:name w:val="目录 61"/>
    <w:basedOn w:val="1"/>
    <w:next w:val="1"/>
    <w:qFormat/>
    <w:uiPriority w:val="0"/>
    <w:pPr>
      <w:ind w:left="1050"/>
      <w:jc w:val="left"/>
    </w:pPr>
    <w:rPr>
      <w:rFonts w:ascii="Calibri" w:hAnsi="Calibri" w:cs="Calibri"/>
      <w:sz w:val="18"/>
      <w:szCs w:val="18"/>
    </w:rPr>
  </w:style>
  <w:style w:type="paragraph" w:customStyle="1" w:styleId="276">
    <w:name w:val="正文文本缩进 31"/>
    <w:basedOn w:val="1"/>
    <w:qFormat/>
    <w:uiPriority w:val="0"/>
    <w:pPr>
      <w:ind w:firstLine="213"/>
    </w:pPr>
    <w:rPr>
      <w:rFonts w:ascii="仿宋_GB2312" w:eastAsia="仿宋_GB2312"/>
      <w:sz w:val="30"/>
    </w:rPr>
  </w:style>
  <w:style w:type="paragraph" w:customStyle="1" w:styleId="277">
    <w:name w:val="索引 71"/>
    <w:basedOn w:val="1"/>
    <w:next w:val="1"/>
    <w:qFormat/>
    <w:uiPriority w:val="0"/>
    <w:pPr>
      <w:ind w:left="1200"/>
    </w:pPr>
    <w:rPr>
      <w:rFonts w:ascii="Calibri" w:hAnsi="Calibri"/>
    </w:rPr>
  </w:style>
  <w:style w:type="paragraph" w:customStyle="1" w:styleId="278">
    <w:name w:val="索引 91"/>
    <w:basedOn w:val="1"/>
    <w:next w:val="1"/>
    <w:qFormat/>
    <w:uiPriority w:val="0"/>
    <w:pPr>
      <w:ind w:left="1600"/>
    </w:pPr>
    <w:rPr>
      <w:rFonts w:ascii="Calibri" w:hAnsi="Calibri"/>
    </w:rPr>
  </w:style>
  <w:style w:type="paragraph" w:customStyle="1" w:styleId="279">
    <w:name w:val="图表目录11"/>
    <w:basedOn w:val="1"/>
    <w:next w:val="1"/>
    <w:qFormat/>
    <w:uiPriority w:val="0"/>
    <w:pPr>
      <w:widowControl/>
      <w:ind w:left="400" w:hanging="200"/>
      <w:jc w:val="left"/>
    </w:pPr>
    <w:rPr>
      <w:rFonts w:ascii="宋体"/>
      <w:bCs/>
      <w:szCs w:val="21"/>
    </w:rPr>
  </w:style>
  <w:style w:type="paragraph" w:customStyle="1" w:styleId="280">
    <w:name w:val="目录 21"/>
    <w:basedOn w:val="1"/>
    <w:next w:val="1"/>
    <w:qFormat/>
    <w:uiPriority w:val="39"/>
    <w:pPr>
      <w:ind w:left="210"/>
      <w:jc w:val="left"/>
    </w:pPr>
    <w:rPr>
      <w:rFonts w:ascii="Calibri" w:hAnsi="Calibri" w:cs="Calibri"/>
      <w:smallCaps/>
      <w:sz w:val="20"/>
      <w:szCs w:val="20"/>
    </w:rPr>
  </w:style>
  <w:style w:type="paragraph" w:customStyle="1" w:styleId="281">
    <w:name w:val="目录 91"/>
    <w:basedOn w:val="1"/>
    <w:next w:val="1"/>
    <w:qFormat/>
    <w:uiPriority w:val="0"/>
    <w:pPr>
      <w:ind w:left="1680"/>
      <w:jc w:val="left"/>
    </w:pPr>
    <w:rPr>
      <w:rFonts w:ascii="Calibri" w:hAnsi="Calibri" w:cs="Calibri"/>
      <w:sz w:val="18"/>
      <w:szCs w:val="18"/>
    </w:rPr>
  </w:style>
  <w:style w:type="paragraph" w:customStyle="1" w:styleId="282">
    <w:name w:val="正文文本 21"/>
    <w:basedOn w:val="1"/>
    <w:qFormat/>
    <w:uiPriority w:val="0"/>
    <w:pPr>
      <w:spacing w:line="560" w:lineRule="exact"/>
    </w:pPr>
    <w:rPr>
      <w:rFonts w:ascii="仿宋_GB2312" w:eastAsia="仿宋_GB2312"/>
      <w:sz w:val="28"/>
      <w:szCs w:val="30"/>
    </w:rPr>
  </w:style>
  <w:style w:type="paragraph" w:customStyle="1" w:styleId="283">
    <w:name w:val="列表接续 21"/>
    <w:basedOn w:val="1"/>
    <w:qFormat/>
    <w:uiPriority w:val="0"/>
    <w:pPr>
      <w:spacing w:after="120"/>
      <w:ind w:left="840"/>
    </w:pPr>
  </w:style>
  <w:style w:type="paragraph" w:customStyle="1" w:styleId="28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85">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86">
    <w:name w:val="索引 21"/>
    <w:basedOn w:val="1"/>
    <w:next w:val="1"/>
    <w:qFormat/>
    <w:uiPriority w:val="0"/>
    <w:pPr>
      <w:ind w:left="200"/>
    </w:pPr>
    <w:rPr>
      <w:rFonts w:ascii="Calibri" w:hAnsi="Calibri"/>
    </w:rPr>
  </w:style>
  <w:style w:type="paragraph" w:customStyle="1" w:styleId="287">
    <w:name w:val="标题1"/>
    <w:basedOn w:val="1"/>
    <w:qFormat/>
    <w:uiPriority w:val="0"/>
    <w:pPr>
      <w:spacing w:before="240" w:after="60"/>
      <w:jc w:val="center"/>
      <w:outlineLvl w:val="0"/>
    </w:pPr>
    <w:rPr>
      <w:rFonts w:ascii="Cambria" w:hAnsi="Cambria"/>
      <w:b/>
      <w:bCs/>
      <w:sz w:val="32"/>
      <w:szCs w:val="32"/>
    </w:rPr>
  </w:style>
  <w:style w:type="paragraph" w:customStyle="1" w:styleId="288">
    <w:name w:val="批注主题1"/>
    <w:basedOn w:val="245"/>
    <w:next w:val="245"/>
    <w:qFormat/>
    <w:uiPriority w:val="0"/>
    <w:rPr>
      <w:b/>
    </w:rPr>
  </w:style>
  <w:style w:type="paragraph" w:customStyle="1" w:styleId="289">
    <w:name w:val="正文首行缩进1"/>
    <w:basedOn w:val="1"/>
    <w:next w:val="1"/>
    <w:qFormat/>
    <w:uiPriority w:val="0"/>
    <w:pPr>
      <w:spacing w:after="120"/>
      <w:ind w:firstLine="100"/>
    </w:pPr>
  </w:style>
  <w:style w:type="paragraph" w:customStyle="1" w:styleId="290">
    <w:name w:val="正文首行缩进 21"/>
    <w:basedOn w:val="250"/>
    <w:link w:val="291"/>
    <w:qFormat/>
    <w:uiPriority w:val="0"/>
    <w:pPr>
      <w:spacing w:after="120"/>
      <w:ind w:left="200" w:firstLine="200"/>
    </w:pPr>
    <w:rPr>
      <w:rFonts w:ascii="Times New Roman"/>
      <w:sz w:val="24"/>
      <w:szCs w:val="24"/>
    </w:rPr>
  </w:style>
  <w:style w:type="character" w:customStyle="1" w:styleId="291">
    <w:name w:val="正文文本首行缩进 2 字符"/>
    <w:link w:val="290"/>
    <w:qFormat/>
    <w:uiPriority w:val="0"/>
    <w:rPr>
      <w:rFonts w:eastAsia="仿宋_GB2312"/>
      <w:sz w:val="24"/>
      <w:szCs w:val="24"/>
      <w:lang w:bidi="ar-SA"/>
    </w:rPr>
  </w:style>
  <w:style w:type="table" w:customStyle="1" w:styleId="292">
    <w:name w:val="网格型1"/>
    <w:basedOn w:val="230"/>
    <w:qFormat/>
    <w:uiPriority w:val="0"/>
  </w:style>
  <w:style w:type="character" w:customStyle="1" w:styleId="293">
    <w:name w:val="要点1"/>
    <w:qFormat/>
    <w:uiPriority w:val="0"/>
    <w:rPr>
      <w:b/>
    </w:rPr>
  </w:style>
  <w:style w:type="character" w:customStyle="1" w:styleId="294">
    <w:name w:val="尾注引用1"/>
    <w:qFormat/>
    <w:uiPriority w:val="0"/>
    <w:rPr>
      <w:vertAlign w:val="superscript"/>
    </w:rPr>
  </w:style>
  <w:style w:type="character" w:customStyle="1" w:styleId="295">
    <w:name w:val="页码1"/>
    <w:qFormat/>
    <w:uiPriority w:val="0"/>
  </w:style>
  <w:style w:type="character" w:customStyle="1" w:styleId="296">
    <w:name w:val="已访问的超链接1"/>
    <w:qFormat/>
    <w:uiPriority w:val="0"/>
    <w:rPr>
      <w:color w:val="800080"/>
      <w:u w:val="single"/>
    </w:rPr>
  </w:style>
  <w:style w:type="character" w:customStyle="1" w:styleId="297">
    <w:name w:val="强调1"/>
    <w:qFormat/>
    <w:uiPriority w:val="0"/>
    <w:rPr>
      <w:color w:val="CC0033"/>
    </w:rPr>
  </w:style>
  <w:style w:type="character" w:customStyle="1" w:styleId="298">
    <w:name w:val="HTML 打字机1"/>
    <w:qFormat/>
    <w:uiPriority w:val="0"/>
    <w:rPr>
      <w:rFonts w:ascii="宋体" w:eastAsia="宋体" w:cs="宋体"/>
      <w:sz w:val="24"/>
      <w:szCs w:val="24"/>
      <w:lang w:bidi="ar-SA"/>
    </w:rPr>
  </w:style>
  <w:style w:type="character" w:customStyle="1" w:styleId="299">
    <w:name w:val="超链接1"/>
    <w:qFormat/>
    <w:uiPriority w:val="99"/>
    <w:rPr>
      <w:color w:val="0000FF"/>
      <w:u w:val="single"/>
    </w:rPr>
  </w:style>
  <w:style w:type="character" w:customStyle="1" w:styleId="300">
    <w:name w:val="批注引用1"/>
    <w:qFormat/>
    <w:uiPriority w:val="0"/>
    <w:rPr>
      <w:sz w:val="21"/>
    </w:rPr>
  </w:style>
  <w:style w:type="character" w:customStyle="1" w:styleId="301">
    <w:name w:val="脚注引用1"/>
    <w:qFormat/>
    <w:uiPriority w:val="0"/>
    <w:rPr>
      <w:vertAlign w:val="superscript"/>
    </w:rPr>
  </w:style>
  <w:style w:type="paragraph" w:customStyle="1" w:styleId="302">
    <w:name w:val="样式 正文首行缩进 2 + Arial"/>
    <w:basedOn w:val="1"/>
    <w:next w:val="1"/>
    <w:qFormat/>
    <w:uiPriority w:val="0"/>
    <w:pPr>
      <w:spacing w:after="120" w:line="320" w:lineRule="atLeast"/>
      <w:ind w:firstLine="200"/>
    </w:pPr>
    <w:rPr>
      <w:rFonts w:ascii="Arial" w:hAnsi="Arial"/>
    </w:rPr>
  </w:style>
  <w:style w:type="character" w:customStyle="1" w:styleId="303">
    <w:name w:val="Comment Text Char"/>
    <w:qFormat/>
    <w:uiPriority w:val="0"/>
    <w:rPr>
      <w:rFonts w:cs="Times New Roman"/>
      <w:sz w:val="21"/>
      <w:szCs w:val="21"/>
      <w:lang w:bidi="ar-SA"/>
    </w:rPr>
  </w:style>
  <w:style w:type="character" w:customStyle="1" w:styleId="304">
    <w:name w:val="纯文本 Char_0"/>
    <w:link w:val="305"/>
    <w:qFormat/>
    <w:uiPriority w:val="0"/>
    <w:rPr>
      <w:rFonts w:ascii="宋体" w:hAnsi="Courier New" w:cs="Courier New"/>
      <w:sz w:val="21"/>
      <w:szCs w:val="21"/>
    </w:rPr>
  </w:style>
  <w:style w:type="paragraph" w:customStyle="1" w:styleId="305">
    <w:name w:val="纯文本_0"/>
    <w:basedOn w:val="306"/>
    <w:link w:val="304"/>
    <w:unhideWhenUsed/>
    <w:qFormat/>
    <w:uiPriority w:val="0"/>
    <w:rPr>
      <w:rFonts w:ascii="宋体" w:hAnsi="Courier New"/>
      <w:szCs w:val="21"/>
    </w:rPr>
  </w:style>
  <w:style w:type="paragraph" w:customStyle="1" w:styleId="306">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07">
    <w:name w:val="ca-51"/>
    <w:qFormat/>
    <w:uiPriority w:val="0"/>
    <w:rPr>
      <w:rFonts w:ascii="楷体_GB2312" w:eastAsia="楷体_GB2312"/>
      <w:b/>
      <w:bCs/>
      <w:spacing w:val="-20"/>
      <w:sz w:val="24"/>
      <w:szCs w:val="24"/>
    </w:rPr>
  </w:style>
  <w:style w:type="character" w:customStyle="1" w:styleId="308">
    <w:name w:val="Heading 4 Char"/>
    <w:qFormat/>
    <w:uiPriority w:val="0"/>
    <w:rPr>
      <w:rFonts w:ascii="Cambria" w:hAnsi="Cambria" w:eastAsia="宋体" w:cs="Cambria"/>
      <w:b/>
      <w:bCs/>
      <w:sz w:val="28"/>
      <w:szCs w:val="28"/>
      <w:lang w:bidi="ar-SA"/>
    </w:rPr>
  </w:style>
  <w:style w:type="character" w:customStyle="1" w:styleId="309">
    <w:name w:val="正文缩进 Char1_0"/>
    <w:link w:val="310"/>
    <w:qFormat/>
    <w:uiPriority w:val="0"/>
    <w:rPr>
      <w:sz w:val="21"/>
      <w:szCs w:val="22"/>
    </w:rPr>
  </w:style>
  <w:style w:type="paragraph" w:customStyle="1" w:styleId="310">
    <w:name w:val="正文缩进_0"/>
    <w:basedOn w:val="306"/>
    <w:link w:val="309"/>
    <w:unhideWhenUsed/>
    <w:qFormat/>
    <w:uiPriority w:val="0"/>
    <w:pPr>
      <w:ind w:firstLine="420"/>
    </w:pPr>
    <w:rPr>
      <w:szCs w:val="22"/>
    </w:rPr>
  </w:style>
  <w:style w:type="character" w:customStyle="1" w:styleId="311">
    <w:name w:val="Header Char1"/>
    <w:qFormat/>
    <w:uiPriority w:val="0"/>
    <w:rPr>
      <w:rFonts w:cs="Times New Roman"/>
      <w:sz w:val="18"/>
      <w:szCs w:val="18"/>
      <w:lang w:bidi="ar-SA"/>
    </w:rPr>
  </w:style>
  <w:style w:type="character" w:customStyle="1" w:styleId="312">
    <w:name w:val="正文文本缩进 2 Char"/>
    <w:link w:val="313"/>
    <w:qFormat/>
    <w:uiPriority w:val="0"/>
    <w:rPr>
      <w:rFonts w:hAnsi="Times New Roman"/>
      <w:sz w:val="21"/>
      <w:szCs w:val="20"/>
    </w:rPr>
  </w:style>
  <w:style w:type="paragraph" w:customStyle="1" w:styleId="313">
    <w:name w:val="正文文本缩进 2_0"/>
    <w:basedOn w:val="314"/>
    <w:link w:val="312"/>
    <w:qFormat/>
    <w:uiPriority w:val="0"/>
    <w:pPr>
      <w:spacing w:line="420" w:lineRule="exact"/>
      <w:ind w:firstLine="525"/>
    </w:pPr>
  </w:style>
  <w:style w:type="paragraph" w:customStyle="1" w:styleId="314">
    <w:name w:val="正文_2"/>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315">
    <w:name w:val="Heading 3 Char"/>
    <w:qFormat/>
    <w:uiPriority w:val="0"/>
    <w:rPr>
      <w:rFonts w:cs="Times New Roman"/>
      <w:b/>
      <w:bCs/>
      <w:sz w:val="32"/>
      <w:szCs w:val="32"/>
      <w:lang w:bidi="ar-SA"/>
    </w:rPr>
  </w:style>
  <w:style w:type="character" w:customStyle="1" w:styleId="316">
    <w:name w:val="ca-21"/>
    <w:qFormat/>
    <w:uiPriority w:val="0"/>
    <w:rPr>
      <w:rFonts w:ascii="宋体" w:eastAsia="宋体"/>
      <w:sz w:val="21"/>
    </w:rPr>
  </w:style>
  <w:style w:type="character" w:customStyle="1" w:styleId="317">
    <w:name w:val="Plain Text Char"/>
    <w:qFormat/>
    <w:uiPriority w:val="0"/>
    <w:rPr>
      <w:rFonts w:ascii="宋体" w:eastAsia="宋体"/>
      <w:sz w:val="21"/>
      <w:lang w:val="en-US" w:eastAsia="zh-CN"/>
    </w:rPr>
  </w:style>
  <w:style w:type="character" w:customStyle="1" w:styleId="318">
    <w:name w:val="maywed421"/>
    <w:qFormat/>
    <w:uiPriority w:val="0"/>
    <w:rPr>
      <w:color w:val="366FB6"/>
      <w:u w:val="none"/>
    </w:rPr>
  </w:style>
  <w:style w:type="character" w:customStyle="1" w:styleId="319">
    <w:name w:val="纯文本 Char_0_0"/>
    <w:link w:val="320"/>
    <w:qFormat/>
    <w:uiPriority w:val="0"/>
    <w:rPr>
      <w:rFonts w:ascii="宋体" w:hAnsi="Courier New"/>
      <w:sz w:val="21"/>
      <w:szCs w:val="21"/>
    </w:rPr>
  </w:style>
  <w:style w:type="paragraph" w:customStyle="1" w:styleId="320">
    <w:name w:val="纯文本_0_0"/>
    <w:basedOn w:val="321"/>
    <w:link w:val="319"/>
    <w:unhideWhenUsed/>
    <w:qFormat/>
    <w:uiPriority w:val="0"/>
    <w:rPr>
      <w:rFonts w:ascii="宋体" w:hAnsi="Courier New"/>
      <w:szCs w:val="21"/>
    </w:rPr>
  </w:style>
  <w:style w:type="paragraph" w:customStyle="1" w:styleId="321">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22">
    <w:name w:val="style15"/>
    <w:qFormat/>
    <w:uiPriority w:val="0"/>
  </w:style>
  <w:style w:type="character" w:customStyle="1" w:styleId="323">
    <w:name w:val="正文（标记） Char2"/>
    <w:link w:val="324"/>
    <w:qFormat/>
    <w:uiPriority w:val="0"/>
    <w:rPr>
      <w:sz w:val="24"/>
      <w:szCs w:val="24"/>
    </w:rPr>
  </w:style>
  <w:style w:type="paragraph" w:customStyle="1" w:styleId="324">
    <w:name w:val="正文（标记）"/>
    <w:basedOn w:val="1"/>
    <w:link w:val="323"/>
    <w:qFormat/>
    <w:uiPriority w:val="0"/>
    <w:pPr>
      <w:tabs>
        <w:tab w:val="left" w:pos="0"/>
        <w:tab w:val="left" w:pos="840"/>
      </w:tabs>
      <w:spacing w:before="50" w:after="50"/>
    </w:pPr>
    <w:rPr>
      <w:sz w:val="24"/>
      <w:szCs w:val="24"/>
    </w:rPr>
  </w:style>
  <w:style w:type="character" w:customStyle="1" w:styleId="325">
    <w:name w:val="段落 Char"/>
    <w:qFormat/>
    <w:uiPriority w:val="0"/>
    <w:rPr>
      <w:rFonts w:ascii="仿宋_GB2312" w:eastAsia="仿宋_GB2312"/>
      <w:sz w:val="24"/>
      <w:szCs w:val="24"/>
      <w:lang w:val="en-US" w:eastAsia="zh-CN" w:bidi="ar-SA"/>
    </w:rPr>
  </w:style>
  <w:style w:type="character" w:customStyle="1" w:styleId="326">
    <w:name w:val="Char Char2"/>
    <w:qFormat/>
    <w:uiPriority w:val="0"/>
    <w:rPr>
      <w:sz w:val="18"/>
      <w:szCs w:val="18"/>
    </w:rPr>
  </w:style>
  <w:style w:type="character" w:customStyle="1" w:styleId="327">
    <w:name w:val="style91"/>
    <w:qFormat/>
    <w:uiPriority w:val="0"/>
    <w:rPr>
      <w:color w:val="2060C0"/>
      <w:sz w:val="24"/>
      <w:szCs w:val="24"/>
    </w:rPr>
  </w:style>
  <w:style w:type="character" w:customStyle="1" w:styleId="328">
    <w:name w:val="普通文字1 Char"/>
    <w:qFormat/>
    <w:uiPriority w:val="0"/>
    <w:rPr>
      <w:rFonts w:ascii="宋体" w:eastAsia="宋体" w:cs="Courier New"/>
      <w:sz w:val="21"/>
      <w:szCs w:val="21"/>
      <w:lang w:val="en-US" w:eastAsia="zh-CN" w:bidi="ar-SA"/>
    </w:rPr>
  </w:style>
  <w:style w:type="character" w:customStyle="1" w:styleId="329">
    <w:name w:val="正文文本缩进 Char"/>
    <w:link w:val="330"/>
    <w:qFormat/>
    <w:uiPriority w:val="0"/>
    <w:rPr>
      <w:rFonts w:hAnsi="Times New Roman"/>
      <w:szCs w:val="20"/>
    </w:rPr>
  </w:style>
  <w:style w:type="paragraph" w:customStyle="1" w:styleId="330">
    <w:name w:val="正文文本缩进_0"/>
    <w:basedOn w:val="314"/>
    <w:link w:val="329"/>
    <w:qFormat/>
    <w:uiPriority w:val="0"/>
    <w:pPr>
      <w:spacing w:line="360" w:lineRule="auto"/>
      <w:ind w:firstLine="420"/>
    </w:pPr>
    <w:rPr>
      <w:sz w:val="20"/>
    </w:rPr>
  </w:style>
  <w:style w:type="character" w:customStyle="1" w:styleId="331">
    <w:name w:val="Char Char21"/>
    <w:qFormat/>
    <w:uiPriority w:val="0"/>
    <w:rPr>
      <w:sz w:val="18"/>
      <w:szCs w:val="18"/>
    </w:rPr>
  </w:style>
  <w:style w:type="character" w:customStyle="1" w:styleId="332">
    <w:name w:val="ca-41"/>
    <w:qFormat/>
    <w:uiPriority w:val="0"/>
    <w:rPr>
      <w:rFonts w:ascii="宋体" w:eastAsia="宋体"/>
      <w:b/>
      <w:bCs/>
      <w:color w:val="000000"/>
      <w:spacing w:val="-20"/>
      <w:sz w:val="21"/>
      <w:szCs w:val="21"/>
    </w:rPr>
  </w:style>
  <w:style w:type="character" w:customStyle="1" w:styleId="333">
    <w:name w:val="question-title"/>
    <w:qFormat/>
    <w:uiPriority w:val="0"/>
  </w:style>
  <w:style w:type="character" w:customStyle="1" w:styleId="334">
    <w:name w:val="A1"/>
    <w:qFormat/>
    <w:uiPriority w:val="0"/>
    <w:rPr>
      <w:rFonts w:ascii="Univers LT Std 45 Light" w:hAnsi="宋体" w:eastAsia="Univers LT Std 45 Light" w:cs="Univers LT Std 45 Light"/>
      <w:color w:val="221E1F"/>
      <w:sz w:val="10"/>
      <w:szCs w:val="10"/>
    </w:rPr>
  </w:style>
  <w:style w:type="character" w:customStyle="1" w:styleId="335">
    <w:name w:val="style161"/>
    <w:qFormat/>
    <w:uiPriority w:val="0"/>
    <w:rPr>
      <w:rFonts w:ascii="Verdana" w:hAnsi="Verdana" w:eastAsia="宋体"/>
      <w:b/>
      <w:color w:val="0A246A"/>
      <w:sz w:val="24"/>
      <w:szCs w:val="24"/>
      <w:lang w:val="en-US" w:eastAsia="zh-CN" w:bidi="ar-SA"/>
    </w:rPr>
  </w:style>
  <w:style w:type="character" w:customStyle="1" w:styleId="336">
    <w:name w:val="ca-31"/>
    <w:qFormat/>
    <w:uiPriority w:val="0"/>
    <w:rPr>
      <w:rFonts w:ascii="宋体" w:eastAsia="宋体"/>
      <w:color w:val="000000"/>
      <w:sz w:val="21"/>
      <w:szCs w:val="21"/>
    </w:rPr>
  </w:style>
  <w:style w:type="character" w:customStyle="1" w:styleId="337">
    <w:name w:val="apple-converted-space"/>
    <w:qFormat/>
    <w:uiPriority w:val="0"/>
  </w:style>
  <w:style w:type="character" w:customStyle="1" w:styleId="338">
    <w:name w:val="Footer Char1"/>
    <w:qFormat/>
    <w:uiPriority w:val="0"/>
    <w:rPr>
      <w:rFonts w:cs="Times New Roman"/>
      <w:sz w:val="18"/>
      <w:szCs w:val="18"/>
      <w:lang w:bidi="ar-SA"/>
    </w:rPr>
  </w:style>
  <w:style w:type="character" w:customStyle="1" w:styleId="339">
    <w:name w:val="A0"/>
    <w:qFormat/>
    <w:uiPriority w:val="0"/>
    <w:rPr>
      <w:rFonts w:ascii=".....?." w:hAnsi="宋体" w:eastAsia=".....?."/>
      <w:color w:val="000000"/>
      <w:sz w:val="22"/>
    </w:rPr>
  </w:style>
  <w:style w:type="character" w:customStyle="1" w:styleId="340">
    <w:name w:val="Char Char23"/>
    <w:qFormat/>
    <w:uiPriority w:val="0"/>
    <w:rPr>
      <w:sz w:val="24"/>
      <w:szCs w:val="21"/>
      <w:lang w:bidi="ar-SA"/>
    </w:rPr>
  </w:style>
  <w:style w:type="character" w:customStyle="1" w:styleId="341">
    <w:name w:val="Char Char1"/>
    <w:qFormat/>
    <w:uiPriority w:val="0"/>
    <w:rPr>
      <w:rFonts w:ascii="宋体" w:eastAsia="宋体"/>
      <w:sz w:val="21"/>
      <w:lang w:val="en-US" w:eastAsia="zh-CN"/>
    </w:rPr>
  </w:style>
  <w:style w:type="character" w:customStyle="1" w:styleId="342">
    <w:name w:val="apple-style-span"/>
    <w:qFormat/>
    <w:uiPriority w:val="0"/>
    <w:rPr>
      <w:rFonts w:ascii="宋体" w:hAnsi="宋体" w:cs="Times New Roman"/>
    </w:rPr>
  </w:style>
  <w:style w:type="character" w:customStyle="1" w:styleId="343">
    <w:name w:val="无间隔 字符"/>
    <w:link w:val="344"/>
    <w:qFormat/>
    <w:uiPriority w:val="0"/>
    <w:rPr>
      <w:sz w:val="22"/>
      <w:lang w:val="en-US" w:eastAsia="zh-CN" w:bidi="ar-SA"/>
    </w:rPr>
  </w:style>
  <w:style w:type="paragraph" w:customStyle="1" w:styleId="344">
    <w:name w:val="无间隔1"/>
    <w:link w:val="343"/>
    <w:qFormat/>
    <w:uiPriority w:val="0"/>
    <w:rPr>
      <w:rFonts w:hint="default" w:ascii="Times New Roman" w:hAnsi="Times New Roman" w:eastAsia="宋体" w:cs="Times New Roman"/>
      <w:sz w:val="22"/>
      <w:lang w:val="en-US" w:eastAsia="zh-CN" w:bidi="ar-SA"/>
    </w:rPr>
  </w:style>
  <w:style w:type="character" w:customStyle="1" w:styleId="345">
    <w:name w:val="Char Char3"/>
    <w:qFormat/>
    <w:uiPriority w:val="0"/>
    <w:rPr>
      <w:rFonts w:ascii="宋体" w:eastAsia="宋体"/>
      <w:sz w:val="18"/>
      <w:szCs w:val="18"/>
      <w:lang w:val="en-US" w:eastAsia="zh-CN" w:bidi="ar-SA"/>
    </w:rPr>
  </w:style>
  <w:style w:type="character" w:customStyle="1" w:styleId="346">
    <w:name w:val="z12 style23"/>
    <w:qFormat/>
    <w:uiPriority w:val="0"/>
  </w:style>
  <w:style w:type="character" w:customStyle="1" w:styleId="347">
    <w:name w:val="font41"/>
    <w:qFormat/>
    <w:uiPriority w:val="0"/>
    <w:rPr>
      <w:rFonts w:hint="eastAsia" w:ascii="宋体" w:hAnsi="宋体" w:eastAsia="宋体" w:cs="宋体"/>
      <w:color w:val="000000"/>
      <w:sz w:val="24"/>
      <w:szCs w:val="24"/>
      <w:u w:val="none"/>
    </w:rPr>
  </w:style>
  <w:style w:type="character" w:customStyle="1" w:styleId="348">
    <w:name w:val="font11"/>
    <w:qFormat/>
    <w:uiPriority w:val="0"/>
    <w:rPr>
      <w:rFonts w:ascii="Times" w:hAnsi="Times" w:eastAsia="Times" w:cs="Times"/>
      <w:color w:val="000000"/>
      <w:sz w:val="24"/>
      <w:szCs w:val="24"/>
      <w:u w:val="none"/>
    </w:rPr>
  </w:style>
  <w:style w:type="character" w:customStyle="1" w:styleId="349">
    <w:name w:val="Plain Text Char1"/>
    <w:qFormat/>
    <w:uiPriority w:val="0"/>
    <w:rPr>
      <w:rFonts w:ascii="宋体" w:eastAsia="宋体"/>
      <w:sz w:val="21"/>
      <w:szCs w:val="21"/>
      <w:lang w:val="en-US" w:eastAsia="zh-CN" w:bidi="ar-SA"/>
    </w:rPr>
  </w:style>
  <w:style w:type="character" w:customStyle="1" w:styleId="350">
    <w:name w:val="Char Char"/>
    <w:qFormat/>
    <w:uiPriority w:val="0"/>
    <w:rPr>
      <w:rFonts w:eastAsia="宋体"/>
      <w:sz w:val="18"/>
      <w:lang w:val="en-US" w:eastAsia="zh-CN"/>
    </w:rPr>
  </w:style>
  <w:style w:type="character" w:customStyle="1" w:styleId="351">
    <w:name w:val="wj1"/>
    <w:qFormat/>
    <w:uiPriority w:val="0"/>
    <w:rPr>
      <w:color w:val="000000"/>
      <w:sz w:val="18"/>
      <w:szCs w:val="18"/>
      <w:u w:val="none"/>
    </w:rPr>
  </w:style>
  <w:style w:type="character" w:customStyle="1" w:styleId="352">
    <w:name w:val="Heading 2 Char"/>
    <w:qFormat/>
    <w:uiPriority w:val="0"/>
    <w:rPr>
      <w:rFonts w:ascii="Arial" w:hAnsi="Arial" w:eastAsia="黑体"/>
      <w:b/>
      <w:bCs/>
      <w:sz w:val="32"/>
      <w:szCs w:val="32"/>
      <w:lang w:val="en-US" w:eastAsia="zh-CN" w:bidi="ar-SA"/>
    </w:rPr>
  </w:style>
  <w:style w:type="character" w:customStyle="1" w:styleId="353">
    <w:name w:val="z1"/>
    <w:qFormat/>
    <w:uiPriority w:val="0"/>
  </w:style>
  <w:style w:type="character" w:customStyle="1" w:styleId="354">
    <w:name w:val="font01"/>
    <w:qFormat/>
    <w:uiPriority w:val="0"/>
    <w:rPr>
      <w:rFonts w:hint="eastAsia" w:ascii="宋体" w:hAnsi="宋体" w:eastAsia="宋体" w:cs="宋体"/>
      <w:color w:val="000000"/>
      <w:sz w:val="24"/>
      <w:szCs w:val="24"/>
      <w:u w:val="none"/>
    </w:rPr>
  </w:style>
  <w:style w:type="character" w:customStyle="1" w:styleId="355">
    <w:name w:val="Footer Char"/>
    <w:qFormat/>
    <w:uiPriority w:val="0"/>
    <w:rPr>
      <w:rFonts w:eastAsia="宋体"/>
      <w:sz w:val="18"/>
      <w:lang w:val="en-US" w:eastAsia="zh-CN"/>
    </w:rPr>
  </w:style>
  <w:style w:type="character" w:customStyle="1" w:styleId="356">
    <w:name w:val="Header Char"/>
    <w:qFormat/>
    <w:uiPriority w:val="0"/>
    <w:rPr>
      <w:rFonts w:eastAsia="宋体"/>
      <w:sz w:val="18"/>
      <w:lang w:val="en-US" w:eastAsia="zh-CN"/>
    </w:rPr>
  </w:style>
  <w:style w:type="character" w:customStyle="1" w:styleId="357">
    <w:name w:val="ca-01"/>
    <w:qFormat/>
    <w:uiPriority w:val="0"/>
    <w:rPr>
      <w:rFonts w:ascii="宋体" w:eastAsia="宋体"/>
      <w:b/>
      <w:bCs/>
      <w:spacing w:val="-20"/>
      <w:sz w:val="24"/>
      <w:szCs w:val="24"/>
    </w:rPr>
  </w:style>
  <w:style w:type="character" w:customStyle="1" w:styleId="358">
    <w:name w:val="font51"/>
    <w:qFormat/>
    <w:uiPriority w:val="99"/>
    <w:rPr>
      <w:rFonts w:ascii="宋体" w:hAnsi="宋体" w:eastAsia="宋体" w:cs="宋体"/>
      <w:color w:val="000000"/>
      <w:sz w:val="22"/>
      <w:szCs w:val="22"/>
    </w:rPr>
  </w:style>
  <w:style w:type="character" w:customStyle="1" w:styleId="359">
    <w:name w:val="font21"/>
    <w:qFormat/>
    <w:uiPriority w:val="0"/>
    <w:rPr>
      <w:rFonts w:ascii="Times New Roman" w:hAnsi="Times New Roman"/>
      <w:color w:val="000000"/>
      <w:sz w:val="20"/>
      <w:u w:val="none"/>
    </w:rPr>
  </w:style>
  <w:style w:type="character" w:customStyle="1" w:styleId="360">
    <w:name w:val="font31"/>
    <w:qFormat/>
    <w:uiPriority w:val="0"/>
    <w:rPr>
      <w:rFonts w:ascii="Arial" w:hAnsi="Arial" w:cs="Arial"/>
      <w:color w:val="000000"/>
      <w:sz w:val="22"/>
      <w:szCs w:val="22"/>
      <w:u w:val="none"/>
    </w:rPr>
  </w:style>
  <w:style w:type="character" w:customStyle="1" w:styleId="361">
    <w:name w:val="正文（编号） Char Char"/>
    <w:link w:val="362"/>
    <w:qFormat/>
    <w:uiPriority w:val="0"/>
    <w:rPr>
      <w:sz w:val="24"/>
      <w:szCs w:val="24"/>
    </w:rPr>
  </w:style>
  <w:style w:type="paragraph" w:customStyle="1" w:styleId="362">
    <w:name w:val="正文（编号）"/>
    <w:basedOn w:val="363"/>
    <w:link w:val="361"/>
    <w:qFormat/>
    <w:uiPriority w:val="0"/>
    <w:pPr>
      <w:tabs>
        <w:tab w:val="left" w:pos="720"/>
        <w:tab w:val="left" w:pos="780"/>
      </w:tabs>
      <w:ind w:left="720" w:firstLine="0"/>
    </w:pPr>
    <w:rPr>
      <w:szCs w:val="24"/>
    </w:rPr>
  </w:style>
  <w:style w:type="paragraph" w:customStyle="1" w:styleId="363">
    <w:name w:val="正文（缩进）"/>
    <w:basedOn w:val="1"/>
    <w:qFormat/>
    <w:uiPriority w:val="0"/>
    <w:pPr>
      <w:spacing w:before="50" w:after="50" w:line="360" w:lineRule="auto"/>
      <w:ind w:firstLine="200"/>
    </w:pPr>
    <w:rPr>
      <w:sz w:val="24"/>
    </w:rPr>
  </w:style>
  <w:style w:type="character" w:customStyle="1" w:styleId="364">
    <w:name w:val="marklong"/>
    <w:qFormat/>
    <w:uiPriority w:val="0"/>
  </w:style>
  <w:style w:type="character" w:customStyle="1" w:styleId="365">
    <w:name w:val="标题 2 Char Char Char"/>
    <w:qFormat/>
    <w:uiPriority w:val="0"/>
    <w:rPr>
      <w:rFonts w:ascii="Arial" w:hAnsi="Arial" w:eastAsia="宋体" w:cs="Arial"/>
      <w:b/>
      <w:bCs/>
      <w:i/>
      <w:iCs/>
      <w:sz w:val="28"/>
      <w:szCs w:val="28"/>
      <w:lang w:val="en-US" w:eastAsia="zh-CN" w:bidi="ar-SA"/>
    </w:rPr>
  </w:style>
  <w:style w:type="character" w:customStyle="1" w:styleId="366">
    <w:name w:val="ca-1"/>
    <w:qFormat/>
    <w:uiPriority w:val="0"/>
  </w:style>
  <w:style w:type="character" w:customStyle="1" w:styleId="367">
    <w:name w:val="ca-11"/>
    <w:qFormat/>
    <w:uiPriority w:val="0"/>
    <w:rPr>
      <w:rFonts w:ascii="宋体" w:eastAsia="宋体"/>
      <w:b/>
      <w:bCs/>
      <w:color w:val="000000"/>
      <w:spacing w:val="-20"/>
      <w:sz w:val="28"/>
      <w:szCs w:val="28"/>
    </w:rPr>
  </w:style>
  <w:style w:type="character" w:customStyle="1" w:styleId="368">
    <w:name w:val="正文（缩进） Char Char"/>
    <w:qFormat/>
    <w:uiPriority w:val="0"/>
    <w:rPr>
      <w:rFonts w:eastAsia="宋体"/>
      <w:sz w:val="24"/>
      <w:szCs w:val="24"/>
      <w:lang w:val="en-US" w:eastAsia="zh-CN" w:bidi="ar-SA"/>
    </w:rPr>
  </w:style>
  <w:style w:type="character" w:customStyle="1" w:styleId="369">
    <w:name w:val="Char Char31"/>
    <w:qFormat/>
    <w:uiPriority w:val="0"/>
    <w:rPr>
      <w:rFonts w:ascii="Arial" w:hAnsi="Arial" w:eastAsia="黑体" w:cs="Times New Roman"/>
      <w:b/>
      <w:bCs/>
      <w:sz w:val="32"/>
      <w:szCs w:val="32"/>
      <w:lang w:val="en-US" w:eastAsia="zh-CN" w:bidi="ar-SA"/>
    </w:rPr>
  </w:style>
  <w:style w:type="paragraph" w:customStyle="1" w:styleId="370">
    <w:name w:val="表文1"/>
    <w:basedOn w:val="1"/>
    <w:qFormat/>
    <w:uiPriority w:val="0"/>
    <w:pPr>
      <w:widowControl/>
      <w:spacing w:line="360" w:lineRule="auto"/>
      <w:ind w:firstLine="196"/>
    </w:pPr>
    <w:rPr>
      <w:rFonts w:ascii="宋体"/>
      <w:sz w:val="24"/>
    </w:rPr>
  </w:style>
  <w:style w:type="paragraph" w:customStyle="1" w:styleId="371">
    <w:name w:val="Normal_6_0"/>
    <w:qFormat/>
    <w:uiPriority w:val="0"/>
    <w:rPr>
      <w:rFonts w:hint="default" w:ascii="黑体" w:hAnsi="黑体" w:eastAsia="黑体" w:cs="Times New Roman"/>
      <w:b/>
      <w:sz w:val="32"/>
      <w:szCs w:val="24"/>
      <w:lang w:val="en-US" w:eastAsia="zh-CN" w:bidi="ar-SA"/>
    </w:rPr>
  </w:style>
  <w:style w:type="paragraph" w:customStyle="1" w:styleId="372">
    <w:name w:val="正文文本缩进1"/>
    <w:basedOn w:val="373"/>
    <w:qFormat/>
    <w:uiPriority w:val="99"/>
    <w:pPr>
      <w:spacing w:after="120"/>
      <w:ind w:left="420"/>
    </w:pPr>
    <w:rPr>
      <w:rFonts w:ascii="Calibri" w:hAnsi="Calibri" w:cs="Calibri"/>
    </w:rPr>
  </w:style>
  <w:style w:type="paragraph" w:customStyle="1" w:styleId="373">
    <w:name w:val="正文11"/>
    <w:qFormat/>
    <w:uiPriority w:val="99"/>
    <w:pPr>
      <w:widowControl w:val="0"/>
    </w:pPr>
    <w:rPr>
      <w:rFonts w:hint="default" w:ascii="Times New Roman" w:hAnsi="Times New Roman" w:eastAsia="宋体" w:cs="Times New Roman"/>
      <w:sz w:val="21"/>
      <w:szCs w:val="21"/>
      <w:lang w:val="en-US" w:eastAsia="zh-CN" w:bidi="ar-SA"/>
    </w:rPr>
  </w:style>
  <w:style w:type="paragraph" w:customStyle="1" w:styleId="374">
    <w:name w:val="Char Char Char"/>
    <w:basedOn w:val="1"/>
    <w:qFormat/>
    <w:uiPriority w:val="0"/>
    <w:rPr>
      <w:rFonts w:ascii="Calibri" w:hAnsi="Calibri"/>
      <w:szCs w:val="21"/>
    </w:rPr>
  </w:style>
  <w:style w:type="paragraph" w:customStyle="1" w:styleId="375">
    <w:name w:val="标题二、"/>
    <w:basedOn w:val="1"/>
    <w:qFormat/>
    <w:uiPriority w:val="99"/>
    <w:pPr>
      <w:spacing w:line="360" w:lineRule="auto"/>
      <w:ind w:firstLine="200"/>
      <w:outlineLvl w:val="2"/>
    </w:pPr>
    <w:rPr>
      <w:rFonts w:ascii="宋体" w:hAnsi="宋体"/>
      <w:b/>
      <w:szCs w:val="21"/>
    </w:rPr>
  </w:style>
  <w:style w:type="paragraph" w:customStyle="1" w:styleId="376">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7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7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79">
    <w:name w:val="正文_1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0">
    <w:name w:val="pa-6"/>
    <w:basedOn w:val="1"/>
    <w:qFormat/>
    <w:uiPriority w:val="0"/>
    <w:pPr>
      <w:widowControl/>
      <w:spacing w:line="360" w:lineRule="atLeast"/>
    </w:pPr>
    <w:rPr>
      <w:rFonts w:ascii="宋体"/>
      <w:sz w:val="24"/>
      <w:szCs w:val="20"/>
    </w:rPr>
  </w:style>
  <w:style w:type="paragraph" w:customStyle="1" w:styleId="381">
    <w:name w:val="正文_2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2">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3">
    <w:name w:val="正文_1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4">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5">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86">
    <w:name w:val="Char Char Char Char Char Char Char Char Char Char"/>
    <w:basedOn w:val="1"/>
    <w:qFormat/>
    <w:uiPriority w:val="0"/>
    <w:rPr>
      <w:rFonts w:ascii="Tahoma" w:hAnsi="Tahoma"/>
      <w:sz w:val="24"/>
      <w:szCs w:val="20"/>
    </w:rPr>
  </w:style>
  <w:style w:type="paragraph" w:customStyle="1" w:styleId="387">
    <w:name w:val="篇名"/>
    <w:next w:val="220"/>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388">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9">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0">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1">
    <w:name w:val="WPSOffice手动目录 1"/>
    <w:qFormat/>
    <w:uiPriority w:val="0"/>
    <w:rPr>
      <w:rFonts w:hint="default" w:ascii="Times New Roman" w:hAnsi="Times New Roman" w:eastAsia="宋体" w:cs="Times New Roman"/>
      <w:lang w:val="en-US" w:eastAsia="zh-CN" w:bidi="ar-SA"/>
    </w:rPr>
  </w:style>
  <w:style w:type="paragraph" w:customStyle="1" w:styleId="392">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参考资料清单+倾斜+蓝色"/>
    <w:basedOn w:val="1"/>
    <w:qFormat/>
    <w:uiPriority w:val="0"/>
    <w:pPr>
      <w:spacing w:line="360" w:lineRule="auto"/>
    </w:pPr>
    <w:rPr>
      <w:rFonts w:ascii="Arial" w:hAnsi="Arial"/>
      <w:i/>
      <w:iCs/>
      <w:color w:val="0000FF"/>
      <w:szCs w:val="21"/>
    </w:rPr>
  </w:style>
  <w:style w:type="paragraph" w:customStyle="1" w:styleId="394">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395">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96">
    <w:name w:val="Normal_2"/>
    <w:qFormat/>
    <w:uiPriority w:val="0"/>
    <w:rPr>
      <w:rFonts w:hint="default" w:ascii="黑体" w:hAnsi="黑体" w:eastAsia="黑体" w:cs="Times New Roman"/>
      <w:b/>
      <w:sz w:val="32"/>
      <w:szCs w:val="24"/>
      <w:lang w:val="en-US" w:eastAsia="zh-CN" w:bidi="ar-SA"/>
    </w:rPr>
  </w:style>
  <w:style w:type="paragraph" w:customStyle="1" w:styleId="397">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98">
    <w:name w:val="默认段落字体 Para Char Char Char Char Char Char Char Char Char1"/>
    <w:basedOn w:val="1"/>
    <w:qFormat/>
    <w:uiPriority w:val="0"/>
    <w:rPr>
      <w:rFonts w:ascii="Tahoma" w:hAnsi="Tahoma"/>
      <w:sz w:val="24"/>
      <w:szCs w:val="20"/>
    </w:rPr>
  </w:style>
  <w:style w:type="paragraph" w:customStyle="1" w:styleId="399">
    <w:name w:val="样式 序号----------- + 仿宋_GB2312"/>
    <w:basedOn w:val="400"/>
    <w:qFormat/>
    <w:uiPriority w:val="0"/>
    <w:pPr>
      <w:spacing w:line="360" w:lineRule="auto"/>
      <w:ind w:firstLine="200"/>
    </w:pPr>
    <w:rPr>
      <w:rFonts w:ascii="仿宋_GB2312" w:eastAsia="仿宋_GB2312"/>
      <w:bCs w:val="0"/>
    </w:rPr>
  </w:style>
  <w:style w:type="paragraph" w:customStyle="1" w:styleId="400">
    <w:name w:val="序号-----------"/>
    <w:basedOn w:val="1"/>
    <w:qFormat/>
    <w:uiPriority w:val="0"/>
    <w:pPr>
      <w:widowControl/>
      <w:jc w:val="left"/>
    </w:pPr>
    <w:rPr>
      <w:rFonts w:ascii="宋体"/>
      <w:bCs/>
      <w:szCs w:val="21"/>
    </w:rPr>
  </w:style>
  <w:style w:type="paragraph" w:customStyle="1" w:styleId="401">
    <w:name w:val="pa-8"/>
    <w:basedOn w:val="1"/>
    <w:qFormat/>
    <w:uiPriority w:val="0"/>
    <w:pPr>
      <w:widowControl/>
      <w:spacing w:line="280" w:lineRule="atLeast"/>
      <w:ind w:firstLine="480"/>
    </w:pPr>
    <w:rPr>
      <w:rFonts w:ascii="宋体" w:cs="宋体"/>
      <w:sz w:val="24"/>
    </w:rPr>
  </w:style>
  <w:style w:type="paragraph" w:customStyle="1" w:styleId="402">
    <w:name w:val="Indent Normal"/>
    <w:basedOn w:val="1"/>
    <w:qFormat/>
    <w:uiPriority w:val="0"/>
    <w:pPr>
      <w:ind w:firstLine="150"/>
    </w:pPr>
    <w:rPr>
      <w:sz w:val="24"/>
      <w:szCs w:val="20"/>
    </w:rPr>
  </w:style>
  <w:style w:type="paragraph" w:customStyle="1" w:styleId="403">
    <w:name w:val="Normal_3"/>
    <w:qFormat/>
    <w:uiPriority w:val="0"/>
    <w:rPr>
      <w:rFonts w:hint="default" w:ascii="黑体" w:hAnsi="黑体" w:eastAsia="黑体" w:cs="Times New Roman"/>
      <w:b/>
      <w:sz w:val="32"/>
      <w:szCs w:val="24"/>
      <w:lang w:val="en-US" w:eastAsia="zh-CN" w:bidi="ar-SA"/>
    </w:rPr>
  </w:style>
  <w:style w:type="paragraph" w:customStyle="1" w:styleId="404">
    <w:name w:val="寄信人地址1"/>
    <w:basedOn w:val="373"/>
    <w:qFormat/>
    <w:uiPriority w:val="99"/>
    <w:rPr>
      <w:rFonts w:ascii="Arial" w:hAnsi="Arial" w:cs="Arial"/>
    </w:rPr>
  </w:style>
  <w:style w:type="paragraph" w:customStyle="1" w:styleId="405">
    <w:name w:val="标题2"/>
    <w:basedOn w:val="1"/>
    <w:qFormat/>
    <w:uiPriority w:val="0"/>
    <w:pPr>
      <w:tabs>
        <w:tab w:val="left" w:pos="0"/>
      </w:tabs>
    </w:pPr>
    <w:rPr>
      <w:rFonts w:ascii="黑体" w:eastAsia="黑体"/>
      <w:sz w:val="24"/>
    </w:rPr>
  </w:style>
  <w:style w:type="paragraph" w:customStyle="1" w:styleId="406">
    <w:name w:val="Normal_10"/>
    <w:qFormat/>
    <w:uiPriority w:val="0"/>
    <w:rPr>
      <w:rFonts w:hint="default" w:ascii="黑体" w:hAnsi="黑体" w:eastAsia="黑体" w:cs="Times New Roman"/>
      <w:b/>
      <w:sz w:val="32"/>
      <w:szCs w:val="24"/>
      <w:lang w:val="en-US" w:eastAsia="zh-CN" w:bidi="ar-SA"/>
    </w:rPr>
  </w:style>
  <w:style w:type="paragraph" w:customStyle="1" w:styleId="407">
    <w:name w:val="样式3"/>
    <w:basedOn w:val="222"/>
    <w:qFormat/>
    <w:uiPriority w:val="0"/>
    <w:pPr>
      <w:spacing w:line="415" w:lineRule="auto"/>
    </w:pPr>
    <w:rPr>
      <w:rFonts w:ascii="Calibri" w:hAnsi="Calibri"/>
      <w:bCs/>
      <w:color w:val="000000"/>
      <w:sz w:val="28"/>
      <w:szCs w:val="28"/>
    </w:rPr>
  </w:style>
  <w:style w:type="paragraph" w:customStyle="1" w:styleId="408">
    <w:name w:val="样式6"/>
    <w:basedOn w:val="61"/>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409">
    <w:name w:val="Char1 Char Char Char"/>
    <w:basedOn w:val="1"/>
    <w:qFormat/>
    <w:uiPriority w:val="0"/>
    <w:rPr>
      <w:szCs w:val="20"/>
    </w:rPr>
  </w:style>
  <w:style w:type="paragraph" w:customStyle="1" w:styleId="410">
    <w:name w:val="纯文本2"/>
    <w:basedOn w:val="1"/>
    <w:qFormat/>
    <w:uiPriority w:val="0"/>
    <w:rPr>
      <w:rFonts w:ascii="宋体" w:hAnsi="Courier New" w:eastAsia="楷体_GB2312"/>
      <w:sz w:val="26"/>
      <w:szCs w:val="20"/>
    </w:rPr>
  </w:style>
  <w:style w:type="paragraph" w:customStyle="1" w:styleId="411">
    <w:name w:val="Normal_4_0"/>
    <w:qFormat/>
    <w:uiPriority w:val="0"/>
    <w:rPr>
      <w:rFonts w:hint="default" w:ascii="黑体" w:hAnsi="黑体" w:eastAsia="黑体" w:cs="Times New Roman"/>
      <w:b/>
      <w:sz w:val="32"/>
      <w:szCs w:val="24"/>
      <w:lang w:val="en-US" w:eastAsia="zh-CN" w:bidi="ar-SA"/>
    </w:rPr>
  </w:style>
  <w:style w:type="paragraph" w:customStyle="1" w:styleId="412">
    <w:name w:val="三级条标题"/>
    <w:basedOn w:val="413"/>
    <w:next w:val="415"/>
    <w:qFormat/>
    <w:uiPriority w:val="0"/>
    <w:pPr>
      <w:ind w:left="1050"/>
      <w:outlineLvl w:val="4"/>
    </w:pPr>
  </w:style>
  <w:style w:type="paragraph" w:customStyle="1" w:styleId="413">
    <w:name w:val="二级条标题"/>
    <w:basedOn w:val="414"/>
    <w:next w:val="415"/>
    <w:qFormat/>
    <w:uiPriority w:val="0"/>
    <w:pPr>
      <w:ind w:left="360"/>
      <w:outlineLvl w:val="3"/>
    </w:pPr>
  </w:style>
  <w:style w:type="paragraph" w:customStyle="1" w:styleId="414">
    <w:name w:val="一级条标题"/>
    <w:next w:val="415"/>
    <w:qFormat/>
    <w:uiPriority w:val="0"/>
    <w:pPr>
      <w:outlineLvl w:val="2"/>
    </w:pPr>
    <w:rPr>
      <w:rFonts w:hint="default" w:ascii="Times New Roman" w:hAnsi="Times New Roman" w:eastAsia="黑体" w:cs="Times New Roman"/>
      <w:sz w:val="21"/>
      <w:lang w:val="en-US" w:eastAsia="zh-CN" w:bidi="ar-SA"/>
    </w:rPr>
  </w:style>
  <w:style w:type="paragraph" w:customStyle="1" w:styleId="415">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16">
    <w:name w:val="Normal_5_0"/>
    <w:qFormat/>
    <w:uiPriority w:val="0"/>
    <w:rPr>
      <w:rFonts w:hint="default" w:ascii="黑体" w:hAnsi="黑体" w:eastAsia="黑体" w:cs="Times New Roman"/>
      <w:b/>
      <w:sz w:val="32"/>
      <w:szCs w:val="24"/>
      <w:lang w:val="en-US" w:eastAsia="zh-CN" w:bidi="ar-SA"/>
    </w:rPr>
  </w:style>
  <w:style w:type="paragraph" w:customStyle="1" w:styleId="417">
    <w:name w:val="Normal_14_0"/>
    <w:qFormat/>
    <w:uiPriority w:val="0"/>
    <w:rPr>
      <w:rFonts w:hint="default" w:ascii="黑体" w:hAnsi="黑体" w:eastAsia="黑体" w:cs="Times New Roman"/>
      <w:b/>
      <w:sz w:val="32"/>
      <w:szCs w:val="24"/>
      <w:lang w:val="en-US" w:eastAsia="zh-CN" w:bidi="ar-SA"/>
    </w:rPr>
  </w:style>
  <w:style w:type="paragraph" w:customStyle="1" w:styleId="418">
    <w:name w:val="技术方案2"/>
    <w:basedOn w:val="1"/>
    <w:qFormat/>
    <w:uiPriority w:val="0"/>
    <w:pPr>
      <w:spacing w:line="480" w:lineRule="auto"/>
    </w:pPr>
    <w:rPr>
      <w:rFonts w:ascii="宋体"/>
      <w:b/>
      <w:bCs/>
      <w:sz w:val="36"/>
    </w:rPr>
  </w:style>
  <w:style w:type="paragraph" w:customStyle="1" w:styleId="419">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420">
    <w:name w:val="Normal_0_0"/>
    <w:qFormat/>
    <w:uiPriority w:val="0"/>
    <w:rPr>
      <w:rFonts w:hint="default" w:ascii="黑体" w:hAnsi="黑体" w:eastAsia="黑体" w:cs="Times New Roman"/>
      <w:b/>
      <w:sz w:val="40"/>
      <w:szCs w:val="24"/>
      <w:lang w:val="en-US" w:eastAsia="zh-CN" w:bidi="ar-SA"/>
    </w:rPr>
  </w:style>
  <w:style w:type="paragraph" w:customStyle="1" w:styleId="421">
    <w:name w:val="表格标题"/>
    <w:basedOn w:val="1"/>
    <w:qFormat/>
    <w:uiPriority w:val="0"/>
    <w:pPr>
      <w:jc w:val="center"/>
    </w:pPr>
    <w:rPr>
      <w:b/>
    </w:rPr>
  </w:style>
  <w:style w:type="paragraph" w:customStyle="1" w:styleId="422">
    <w:name w:val="表中文字"/>
    <w:basedOn w:val="1"/>
    <w:qFormat/>
    <w:uiPriority w:val="0"/>
    <w:pPr>
      <w:widowControl/>
    </w:pPr>
    <w:rPr>
      <w:rFonts w:ascii="Calibri" w:hAnsi="Calibri"/>
      <w:szCs w:val="20"/>
    </w:rPr>
  </w:style>
  <w:style w:type="paragraph" w:customStyle="1" w:styleId="42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24">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25">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6">
    <w:name w:val="Normal_9"/>
    <w:qFormat/>
    <w:uiPriority w:val="0"/>
    <w:rPr>
      <w:rFonts w:hint="default" w:ascii="黑体" w:hAnsi="黑体" w:eastAsia="黑体" w:cs="Times New Roman"/>
      <w:b/>
      <w:sz w:val="32"/>
      <w:szCs w:val="24"/>
      <w:lang w:val="en-US" w:eastAsia="zh-CN" w:bidi="ar-SA"/>
    </w:rPr>
  </w:style>
  <w:style w:type="paragraph" w:customStyle="1" w:styleId="427">
    <w:name w:val="表格正文"/>
    <w:basedOn w:val="1"/>
    <w:qFormat/>
    <w:uiPriority w:val="0"/>
    <w:pPr>
      <w:tabs>
        <w:tab w:val="left" w:pos="420"/>
      </w:tabs>
      <w:spacing w:line="300" w:lineRule="auto"/>
    </w:pPr>
  </w:style>
  <w:style w:type="paragraph" w:customStyle="1" w:styleId="428">
    <w:name w:val="目录 1_0"/>
    <w:basedOn w:val="314"/>
    <w:next w:val="314"/>
    <w:semiHidden/>
    <w:qFormat/>
    <w:uiPriority w:val="0"/>
    <w:pPr>
      <w:jc w:val="left"/>
    </w:pPr>
    <w:rPr>
      <w:rFonts w:hint="eastAsia" w:ascii="宋体" w:hAnsi="宋体"/>
      <w:b/>
      <w:sz w:val="24"/>
    </w:rPr>
  </w:style>
  <w:style w:type="paragraph" w:customStyle="1" w:styleId="429">
    <w:name w:val="正文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1">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2">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33">
    <w:name w:val="标书2"/>
    <w:next w:val="434"/>
    <w:qFormat/>
    <w:uiPriority w:val="0"/>
    <w:rPr>
      <w:rFonts w:hint="default" w:ascii="Times New Roman" w:hAnsi="Times New Roman" w:eastAsia="黑体" w:cs="宋体"/>
      <w:b/>
      <w:sz w:val="44"/>
      <w:lang w:val="en-US" w:eastAsia="zh-CN" w:bidi="ar-SA"/>
    </w:rPr>
  </w:style>
  <w:style w:type="paragraph" w:customStyle="1" w:styleId="434">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435">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6">
    <w:name w:val="p0"/>
    <w:basedOn w:val="1"/>
    <w:qFormat/>
    <w:uiPriority w:val="0"/>
    <w:pPr>
      <w:widowControl/>
    </w:pPr>
    <w:rPr>
      <w:szCs w:val="21"/>
    </w:rPr>
  </w:style>
  <w:style w:type="paragraph" w:customStyle="1" w:styleId="437">
    <w:name w:val="ibm-list-next"/>
    <w:basedOn w:val="1"/>
    <w:qFormat/>
    <w:uiPriority w:val="0"/>
    <w:pPr>
      <w:widowControl/>
      <w:spacing w:before="100" w:beforeAutospacing="1" w:after="100" w:afterAutospacing="1"/>
      <w:jc w:val="left"/>
    </w:pPr>
    <w:rPr>
      <w:rFonts w:ascii="宋体" w:cs="宋体"/>
      <w:sz w:val="24"/>
    </w:rPr>
  </w:style>
  <w:style w:type="paragraph" w:customStyle="1" w:styleId="438">
    <w:name w:val="WPSOffice手动目录 2"/>
    <w:qFormat/>
    <w:uiPriority w:val="0"/>
    <w:rPr>
      <w:rFonts w:hint="default" w:ascii="Times New Roman" w:hAnsi="Times New Roman" w:eastAsia="宋体" w:cs="Times New Roman"/>
      <w:lang w:val="en-US" w:eastAsia="zh-CN" w:bidi="ar-SA"/>
    </w:rPr>
  </w:style>
  <w:style w:type="paragraph" w:customStyle="1" w:styleId="439">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40">
    <w:name w:val="pa-9"/>
    <w:basedOn w:val="1"/>
    <w:qFormat/>
    <w:uiPriority w:val="0"/>
    <w:pPr>
      <w:widowControl/>
      <w:spacing w:line="360" w:lineRule="atLeast"/>
      <w:jc w:val="center"/>
    </w:pPr>
    <w:rPr>
      <w:rFonts w:ascii="宋体" w:cs="宋体"/>
      <w:sz w:val="24"/>
    </w:rPr>
  </w:style>
  <w:style w:type="paragraph" w:customStyle="1" w:styleId="441">
    <w:name w:val="表格文字"/>
    <w:basedOn w:val="1"/>
    <w:qFormat/>
    <w:uiPriority w:val="0"/>
    <w:pPr>
      <w:jc w:val="left"/>
    </w:pPr>
    <w:rPr>
      <w:sz w:val="18"/>
    </w:rPr>
  </w:style>
  <w:style w:type="paragraph" w:customStyle="1" w:styleId="442">
    <w:name w:val="Figure and Table Title"/>
    <w:basedOn w:val="1"/>
    <w:qFormat/>
    <w:uiPriority w:val="0"/>
    <w:pPr>
      <w:widowControl/>
      <w:ind w:left="2160"/>
      <w:jc w:val="left"/>
    </w:pPr>
    <w:rPr>
      <w:rFonts w:ascii="Helvetica-Light" w:hAnsi="Helvetica-Light"/>
      <w:b/>
      <w:bCs/>
      <w:sz w:val="20"/>
      <w:lang w:eastAsia="en-US"/>
    </w:rPr>
  </w:style>
  <w:style w:type="paragraph" w:customStyle="1" w:styleId="443">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4">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45">
    <w:name w:val="首页小标题"/>
    <w:next w:val="446"/>
    <w:qFormat/>
    <w:uiPriority w:val="0"/>
    <w:pPr>
      <w:jc w:val="center"/>
    </w:pPr>
    <w:rPr>
      <w:rFonts w:hint="default" w:ascii="Times New Roman" w:hAnsi="Times New Roman" w:eastAsia="宋体" w:cs="宋体"/>
      <w:sz w:val="44"/>
      <w:lang w:val="en-US" w:eastAsia="zh-CN" w:bidi="ar-SA"/>
    </w:rPr>
  </w:style>
  <w:style w:type="paragraph" w:customStyle="1" w:styleId="446">
    <w:name w:val="首页空格"/>
    <w:qFormat/>
    <w:uiPriority w:val="0"/>
    <w:pPr>
      <w:jc w:val="center"/>
    </w:pPr>
    <w:rPr>
      <w:rFonts w:hint="default" w:ascii="Times New Roman" w:hAnsi="Times New Roman" w:eastAsia="宋体" w:cs="宋体"/>
      <w:sz w:val="72"/>
      <w:lang w:val="en-US" w:eastAsia="zh-CN" w:bidi="ar-SA"/>
    </w:rPr>
  </w:style>
  <w:style w:type="paragraph" w:customStyle="1" w:styleId="447">
    <w:name w:val="纯文本1"/>
    <w:basedOn w:val="1"/>
    <w:qFormat/>
    <w:uiPriority w:val="0"/>
    <w:rPr>
      <w:rFonts w:ascii="宋体" w:hAnsi="Courier New" w:eastAsia="楷体_GB2312"/>
      <w:sz w:val="26"/>
      <w:szCs w:val="20"/>
    </w:rPr>
  </w:style>
  <w:style w:type="paragraph" w:customStyle="1" w:styleId="448">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49">
    <w:name w:val="表头"/>
    <w:basedOn w:val="450"/>
    <w:qFormat/>
    <w:uiPriority w:val="0"/>
    <w:pPr>
      <w:spacing w:line="240" w:lineRule="auto"/>
      <w:ind w:left="0" w:firstLine="0"/>
    </w:pPr>
    <w:rPr>
      <w:sz w:val="20"/>
    </w:rPr>
  </w:style>
  <w:style w:type="paragraph" w:customStyle="1" w:styleId="450">
    <w:name w:val="正文1"/>
    <w:basedOn w:val="1"/>
    <w:qFormat/>
    <w:uiPriority w:val="0"/>
    <w:pPr>
      <w:widowControl/>
      <w:spacing w:line="360" w:lineRule="auto"/>
      <w:ind w:left="357" w:firstLine="420"/>
      <w:jc w:val="left"/>
    </w:pPr>
    <w:rPr>
      <w:rFonts w:cs="Arial"/>
      <w:szCs w:val="20"/>
    </w:rPr>
  </w:style>
  <w:style w:type="paragraph" w:customStyle="1" w:styleId="451">
    <w:name w:val="正文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2">
    <w:name w:val="表格序号"/>
    <w:qFormat/>
    <w:uiPriority w:val="0"/>
    <w:rPr>
      <w:rFonts w:hint="default" w:ascii="Times New Roman" w:hAnsi="Times New Roman" w:eastAsia="仿宋_GB2312" w:cs="宋体"/>
      <w:sz w:val="21"/>
      <w:lang w:val="en-US" w:eastAsia="zh-CN" w:bidi="ar-SA"/>
    </w:rPr>
  </w:style>
  <w:style w:type="paragraph" w:customStyle="1" w:styleId="453">
    <w:name w:val="正文_1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4">
    <w:name w:val="Normal_15"/>
    <w:qFormat/>
    <w:uiPriority w:val="0"/>
    <w:rPr>
      <w:rFonts w:hint="default" w:ascii="黑体" w:hAnsi="黑体" w:eastAsia="黑体" w:cs="Times New Roman"/>
      <w:b/>
      <w:sz w:val="32"/>
      <w:szCs w:val="24"/>
      <w:lang w:val="en-US" w:eastAsia="zh-CN" w:bidi="ar-SA"/>
    </w:rPr>
  </w:style>
  <w:style w:type="paragraph" w:styleId="455">
    <w:name w:val="List Paragraph"/>
    <w:basedOn w:val="1"/>
    <w:link w:val="668"/>
    <w:qFormat/>
    <w:uiPriority w:val="34"/>
    <w:pPr>
      <w:ind w:firstLine="200"/>
    </w:pPr>
    <w:rPr>
      <w:rFonts w:ascii="Calibri" w:hAnsi="Calibri"/>
    </w:rPr>
  </w:style>
  <w:style w:type="paragraph" w:customStyle="1" w:styleId="456">
    <w:name w:val="正文_1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7">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58">
    <w:name w:val="Normal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9">
    <w:name w:val="技术方案3"/>
    <w:basedOn w:val="1"/>
    <w:qFormat/>
    <w:uiPriority w:val="0"/>
    <w:pPr>
      <w:spacing w:line="360" w:lineRule="auto"/>
    </w:pPr>
    <w:rPr>
      <w:rFonts w:ascii="宋体"/>
      <w:b/>
      <w:bCs/>
      <w:sz w:val="32"/>
    </w:rPr>
  </w:style>
  <w:style w:type="paragraph" w:customStyle="1" w:styleId="460">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61">
    <w:name w:val="正文_1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2">
    <w:name w:val="pa-10"/>
    <w:basedOn w:val="1"/>
    <w:qFormat/>
    <w:uiPriority w:val="0"/>
    <w:pPr>
      <w:widowControl/>
      <w:spacing w:line="240" w:lineRule="atLeast"/>
    </w:pPr>
    <w:rPr>
      <w:rFonts w:ascii="宋体" w:cs="宋体"/>
      <w:sz w:val="24"/>
    </w:rPr>
  </w:style>
  <w:style w:type="paragraph" w:customStyle="1" w:styleId="463">
    <w:name w:val="pa-5"/>
    <w:basedOn w:val="1"/>
    <w:qFormat/>
    <w:uiPriority w:val="0"/>
    <w:pPr>
      <w:widowControl/>
      <w:spacing w:line="280" w:lineRule="atLeast"/>
    </w:pPr>
    <w:rPr>
      <w:rFonts w:ascii="宋体" w:cs="宋体"/>
      <w:sz w:val="24"/>
    </w:rPr>
  </w:style>
  <w:style w:type="paragraph" w:customStyle="1" w:styleId="464">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65">
    <w:name w:val="新段落缩进"/>
    <w:basedOn w:val="1"/>
    <w:qFormat/>
    <w:uiPriority w:val="0"/>
    <w:pPr>
      <w:spacing w:line="400" w:lineRule="exact"/>
      <w:ind w:firstLine="200"/>
    </w:pPr>
    <w:rPr>
      <w:rFonts w:ascii="仿宋_GB2312" w:eastAsia="仿宋_GB2312"/>
      <w:sz w:val="24"/>
    </w:rPr>
  </w:style>
  <w:style w:type="paragraph" w:customStyle="1" w:styleId="466">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7">
    <w:name w:val="pa-2"/>
    <w:basedOn w:val="1"/>
    <w:qFormat/>
    <w:uiPriority w:val="0"/>
    <w:pPr>
      <w:widowControl/>
      <w:spacing w:line="360" w:lineRule="atLeast"/>
    </w:pPr>
    <w:rPr>
      <w:rFonts w:ascii="宋体" w:cs="宋体"/>
      <w:sz w:val="24"/>
    </w:rPr>
  </w:style>
  <w:style w:type="paragraph" w:customStyle="1" w:styleId="468">
    <w:name w:val="列出段落1"/>
    <w:basedOn w:val="1"/>
    <w:qFormat/>
    <w:uiPriority w:val="99"/>
    <w:pPr>
      <w:ind w:firstLine="200"/>
    </w:pPr>
    <w:rPr>
      <w:rFonts w:ascii="Calibri" w:hAnsi="Calibri"/>
    </w:rPr>
  </w:style>
  <w:style w:type="paragraph" w:customStyle="1" w:styleId="469">
    <w:name w:val="说明书2级标题"/>
    <w:basedOn w:val="1"/>
    <w:next w:val="470"/>
    <w:qFormat/>
    <w:uiPriority w:val="0"/>
    <w:pPr>
      <w:numPr>
        <w:ilvl w:val="2"/>
        <w:numId w:val="1"/>
      </w:numPr>
      <w:spacing w:before="100"/>
    </w:pPr>
    <w:rPr>
      <w:rFonts w:ascii="Calibri" w:hAnsi="Calibri" w:eastAsia="黑体"/>
      <w:sz w:val="28"/>
      <w:szCs w:val="28"/>
    </w:rPr>
  </w:style>
  <w:style w:type="paragraph" w:customStyle="1" w:styleId="470">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71">
    <w:name w:val="Char Char1 Char Char Char Char Char Char Char Char"/>
    <w:basedOn w:val="1"/>
    <w:qFormat/>
    <w:uiPriority w:val="0"/>
    <w:pPr>
      <w:widowControl/>
      <w:spacing w:after="160" w:line="240" w:lineRule="exact"/>
      <w:jc w:val="left"/>
    </w:pPr>
  </w:style>
  <w:style w:type="paragraph" w:customStyle="1" w:styleId="472">
    <w:name w:val="Normal_11_0"/>
    <w:qFormat/>
    <w:uiPriority w:val="0"/>
    <w:rPr>
      <w:rFonts w:hint="default" w:ascii="黑体" w:hAnsi="黑体" w:eastAsia="黑体" w:cs="Times New Roman"/>
      <w:b/>
      <w:sz w:val="32"/>
      <w:szCs w:val="24"/>
      <w:lang w:val="en-US" w:eastAsia="zh-CN" w:bidi="ar-SA"/>
    </w:rPr>
  </w:style>
  <w:style w:type="paragraph" w:customStyle="1" w:styleId="473">
    <w:name w:val="首页标题小初"/>
    <w:qFormat/>
    <w:uiPriority w:val="0"/>
    <w:pPr>
      <w:jc w:val="center"/>
    </w:pPr>
    <w:rPr>
      <w:rFonts w:hint="default" w:ascii="黑体" w:hAnsi="Times New Roman" w:eastAsia="黑体" w:cs="宋体"/>
      <w:sz w:val="72"/>
      <w:lang w:val="en-US" w:eastAsia="zh-CN" w:bidi="ar-SA"/>
    </w:rPr>
  </w:style>
  <w:style w:type="paragraph" w:customStyle="1" w:styleId="47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5">
    <w:name w:val="正文_6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76">
    <w:name w:val="附图标题"/>
    <w:basedOn w:val="240"/>
    <w:next w:val="239"/>
    <w:qFormat/>
    <w:uiPriority w:val="0"/>
    <w:pPr>
      <w:tabs>
        <w:tab w:val="left" w:pos="780"/>
      </w:tabs>
      <w:spacing w:after="100"/>
      <w:ind w:left="780" w:hanging="480"/>
      <w:jc w:val="center"/>
    </w:pPr>
    <w:rPr>
      <w:b/>
      <w:sz w:val="21"/>
    </w:rPr>
  </w:style>
  <w:style w:type="paragraph" w:customStyle="1" w:styleId="477">
    <w:name w:val="Normal_7"/>
    <w:qFormat/>
    <w:uiPriority w:val="0"/>
    <w:rPr>
      <w:rFonts w:hint="default" w:ascii="黑体" w:hAnsi="黑体" w:eastAsia="黑体" w:cs="Times New Roman"/>
      <w:b/>
      <w:sz w:val="32"/>
      <w:szCs w:val="24"/>
      <w:lang w:val="en-US" w:eastAsia="zh-CN" w:bidi="ar-SA"/>
    </w:rPr>
  </w:style>
  <w:style w:type="paragraph" w:customStyle="1" w:styleId="478">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9">
    <w:name w:val="五级条标题"/>
    <w:basedOn w:val="480"/>
    <w:next w:val="415"/>
    <w:qFormat/>
    <w:uiPriority w:val="0"/>
    <w:pPr>
      <w:outlineLvl w:val="6"/>
    </w:pPr>
  </w:style>
  <w:style w:type="paragraph" w:customStyle="1" w:styleId="480">
    <w:name w:val="四级条标题"/>
    <w:basedOn w:val="412"/>
    <w:next w:val="415"/>
    <w:qFormat/>
    <w:uiPriority w:val="0"/>
    <w:pPr>
      <w:ind w:left="0"/>
      <w:outlineLvl w:val="5"/>
    </w:pPr>
  </w:style>
  <w:style w:type="paragraph" w:customStyle="1" w:styleId="481">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2">
    <w:name w:val="正文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3">
    <w:name w:val="标准小四"/>
    <w:basedOn w:val="1"/>
    <w:qFormat/>
    <w:uiPriority w:val="0"/>
    <w:pPr>
      <w:spacing w:line="360" w:lineRule="auto"/>
      <w:ind w:firstLine="200"/>
    </w:pPr>
    <w:rPr>
      <w:rFonts w:ascii="Arial" w:hAnsi="Arial"/>
      <w:sz w:val="24"/>
      <w:szCs w:val="21"/>
    </w:rPr>
  </w:style>
  <w:style w:type="paragraph" w:customStyle="1" w:styleId="484">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85">
    <w:name w:val="Normal_18_0"/>
    <w:qFormat/>
    <w:uiPriority w:val="0"/>
    <w:rPr>
      <w:rFonts w:hint="default" w:ascii="黑体" w:hAnsi="黑体" w:eastAsia="黑体" w:cs="Times New Roman"/>
      <w:b/>
      <w:sz w:val="32"/>
      <w:szCs w:val="24"/>
      <w:lang w:val="en-US" w:eastAsia="zh-CN" w:bidi="ar-SA"/>
    </w:rPr>
  </w:style>
  <w:style w:type="paragraph" w:customStyle="1" w:styleId="486">
    <w:name w:val="a0"/>
    <w:basedOn w:val="1"/>
    <w:qFormat/>
    <w:uiPriority w:val="0"/>
    <w:pPr>
      <w:widowControl/>
      <w:spacing w:before="100" w:beforeAutospacing="1" w:after="100" w:afterAutospacing="1"/>
      <w:jc w:val="left"/>
    </w:pPr>
    <w:rPr>
      <w:rFonts w:ascii="宋体"/>
      <w:sz w:val="24"/>
    </w:rPr>
  </w:style>
  <w:style w:type="paragraph" w:customStyle="1" w:styleId="487">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88">
    <w:name w:val="正文_1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89">
    <w:name w:val="加点正文缩进"/>
    <w:basedOn w:val="1"/>
    <w:qFormat/>
    <w:uiPriority w:val="0"/>
    <w:pPr>
      <w:tabs>
        <w:tab w:val="left" w:pos="840"/>
      </w:tabs>
      <w:spacing w:line="300" w:lineRule="auto"/>
      <w:ind w:left="962" w:hanging="480"/>
    </w:pPr>
    <w:rPr>
      <w:sz w:val="24"/>
    </w:rPr>
  </w:style>
  <w:style w:type="paragraph" w:customStyle="1" w:styleId="490">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1">
    <w:name w:val="Normal_1_1"/>
    <w:qFormat/>
    <w:uiPriority w:val="0"/>
    <w:rPr>
      <w:rFonts w:hint="default" w:ascii="黑体" w:hAnsi="黑体" w:eastAsia="黑体" w:cs="Times New Roman"/>
      <w:b/>
      <w:sz w:val="32"/>
      <w:szCs w:val="24"/>
      <w:lang w:val="en-US" w:eastAsia="zh-CN" w:bidi="ar-SA"/>
    </w:rPr>
  </w:style>
  <w:style w:type="paragraph" w:customStyle="1" w:styleId="492">
    <w:name w:val="技术方案正文样式"/>
    <w:basedOn w:val="1"/>
    <w:qFormat/>
    <w:uiPriority w:val="0"/>
    <w:pPr>
      <w:spacing w:line="400" w:lineRule="exact"/>
      <w:ind w:firstLine="200"/>
    </w:pPr>
    <w:rPr>
      <w:rFonts w:ascii="宋体" w:cs="宋体"/>
      <w:sz w:val="24"/>
      <w:szCs w:val="21"/>
    </w:rPr>
  </w:style>
  <w:style w:type="paragraph" w:customStyle="1" w:styleId="493">
    <w:name w:val="首页标题 一号"/>
    <w:basedOn w:val="473"/>
    <w:qFormat/>
    <w:uiPriority w:val="0"/>
    <w:rPr>
      <w:sz w:val="52"/>
    </w:rPr>
  </w:style>
  <w:style w:type="paragraph" w:customStyle="1" w:styleId="494">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95">
    <w:name w:val="Table Text/Title"/>
    <w:basedOn w:val="1"/>
    <w:qFormat/>
    <w:uiPriority w:val="0"/>
    <w:pPr>
      <w:widowControl/>
      <w:jc w:val="left"/>
    </w:pPr>
    <w:rPr>
      <w:rFonts w:ascii="宋体"/>
      <w:b/>
      <w:bCs/>
      <w:sz w:val="20"/>
      <w:szCs w:val="20"/>
      <w:lang w:eastAsia="en-US"/>
    </w:rPr>
  </w:style>
  <w:style w:type="paragraph" w:customStyle="1" w:styleId="496">
    <w:name w:val="样式 序号----------- + 仿宋_GB23121"/>
    <w:basedOn w:val="400"/>
    <w:qFormat/>
    <w:uiPriority w:val="0"/>
    <w:pPr>
      <w:spacing w:line="360" w:lineRule="auto"/>
    </w:pPr>
    <w:rPr>
      <w:rFonts w:ascii="仿宋_GB2312" w:eastAsia="仿宋_GB2312"/>
      <w:bCs w:val="0"/>
    </w:rPr>
  </w:style>
  <w:style w:type="paragraph" w:customStyle="1" w:styleId="497">
    <w:name w:val="Char Char Char Char1"/>
    <w:basedOn w:val="1"/>
    <w:qFormat/>
    <w:uiPriority w:val="0"/>
    <w:pPr>
      <w:spacing w:line="360" w:lineRule="auto"/>
      <w:ind w:firstLine="200"/>
    </w:pPr>
    <w:rPr>
      <w:sz w:val="24"/>
      <w:szCs w:val="20"/>
    </w:rPr>
  </w:style>
  <w:style w:type="paragraph" w:customStyle="1" w:styleId="498">
    <w:name w:val="正文_1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99">
    <w:name w:val="Char1"/>
    <w:basedOn w:val="1"/>
    <w:qFormat/>
    <w:uiPriority w:val="0"/>
    <w:pPr>
      <w:tabs>
        <w:tab w:val="left" w:pos="360"/>
      </w:tabs>
      <w:spacing w:line="480" w:lineRule="auto"/>
      <w:ind w:left="360" w:right="202" w:firstLine="360"/>
    </w:pPr>
    <w:rPr>
      <w:sz w:val="24"/>
    </w:rPr>
  </w:style>
  <w:style w:type="paragraph" w:customStyle="1" w:styleId="500">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1">
    <w:name w:val="章标题"/>
    <w:next w:val="415"/>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502">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3">
    <w:name w:val="Normal_0_1"/>
    <w:qFormat/>
    <w:uiPriority w:val="0"/>
    <w:rPr>
      <w:rFonts w:hint="default" w:ascii="黑体" w:hAnsi="黑体" w:eastAsia="黑体" w:cs="Times New Roman"/>
      <w:b/>
      <w:sz w:val="32"/>
      <w:szCs w:val="24"/>
      <w:lang w:val="en-US" w:eastAsia="zh-CN" w:bidi="ar-SA"/>
    </w:rPr>
  </w:style>
  <w:style w:type="paragraph" w:customStyle="1" w:styleId="504">
    <w:name w:val="列表段落1"/>
    <w:basedOn w:val="1"/>
    <w:qFormat/>
    <w:uiPriority w:val="34"/>
    <w:pPr>
      <w:ind w:firstLine="420"/>
    </w:pPr>
  </w:style>
  <w:style w:type="paragraph" w:customStyle="1" w:styleId="505">
    <w:name w:val="默认段落字体 Para Char Char Char Char Char Char Char Char Char1 Char Char Char Char Char Char Char Char"/>
    <w:basedOn w:val="244"/>
    <w:qFormat/>
    <w:uiPriority w:val="0"/>
    <w:rPr>
      <w:rFonts w:ascii="Calibri" w:hAnsi="Calibri"/>
    </w:rPr>
  </w:style>
  <w:style w:type="paragraph" w:customStyle="1" w:styleId="506">
    <w:name w:val="Normal_7_0"/>
    <w:qFormat/>
    <w:uiPriority w:val="0"/>
    <w:rPr>
      <w:rFonts w:hint="default" w:ascii="黑体" w:hAnsi="黑体" w:eastAsia="黑体" w:cs="Times New Roman"/>
      <w:b/>
      <w:sz w:val="32"/>
      <w:szCs w:val="24"/>
      <w:lang w:val="en-US" w:eastAsia="zh-CN" w:bidi="ar-SA"/>
    </w:rPr>
  </w:style>
  <w:style w:type="paragraph" w:customStyle="1" w:styleId="50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8">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09">
    <w:name w:val="Normal_12_0"/>
    <w:qFormat/>
    <w:uiPriority w:val="0"/>
    <w:rPr>
      <w:rFonts w:hint="default" w:ascii="黑体" w:hAnsi="黑体" w:eastAsia="黑体" w:cs="Times New Roman"/>
      <w:b/>
      <w:sz w:val="32"/>
      <w:szCs w:val="24"/>
      <w:lang w:val="en-US" w:eastAsia="zh-CN" w:bidi="ar-SA"/>
    </w:rPr>
  </w:style>
  <w:style w:type="paragraph" w:customStyle="1" w:styleId="510">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511">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2">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13">
    <w:name w:val="Normal_18"/>
    <w:qFormat/>
    <w:uiPriority w:val="0"/>
    <w:rPr>
      <w:rFonts w:hint="default" w:ascii="黑体" w:hAnsi="黑体" w:eastAsia="黑体" w:cs="Times New Roman"/>
      <w:b/>
      <w:sz w:val="32"/>
      <w:szCs w:val="24"/>
      <w:lang w:val="en-US" w:eastAsia="zh-CN" w:bidi="ar-SA"/>
    </w:rPr>
  </w:style>
  <w:style w:type="paragraph" w:customStyle="1" w:styleId="514">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15">
    <w:name w:val="Normal_0_3"/>
    <w:qFormat/>
    <w:uiPriority w:val="0"/>
    <w:rPr>
      <w:rFonts w:hint="default" w:ascii="黑体" w:hAnsi="黑体" w:eastAsia="黑体" w:cs="Times New Roman"/>
      <w:b/>
      <w:sz w:val="32"/>
      <w:szCs w:val="24"/>
      <w:lang w:val="en-US" w:eastAsia="zh-CN" w:bidi="ar-SA"/>
    </w:rPr>
  </w:style>
  <w:style w:type="paragraph" w:customStyle="1" w:styleId="516">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7">
    <w:name w:val="修订1"/>
    <w:qFormat/>
    <w:uiPriority w:val="0"/>
    <w:rPr>
      <w:rFonts w:hint="default" w:ascii="Times New Roman" w:hAnsi="Times New Roman" w:eastAsia="宋体" w:cs="Times New Roman"/>
      <w:sz w:val="21"/>
      <w:szCs w:val="24"/>
      <w:lang w:val="en-US" w:eastAsia="zh-CN" w:bidi="ar-SA"/>
    </w:rPr>
  </w:style>
  <w:style w:type="paragraph" w:customStyle="1" w:styleId="518">
    <w:name w:val="Char11"/>
    <w:basedOn w:val="1"/>
    <w:qFormat/>
    <w:uiPriority w:val="0"/>
    <w:rPr>
      <w:szCs w:val="21"/>
    </w:rPr>
  </w:style>
  <w:style w:type="paragraph" w:customStyle="1" w:styleId="519">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520">
    <w:name w:val="Normal_12"/>
    <w:qFormat/>
    <w:uiPriority w:val="0"/>
    <w:rPr>
      <w:rFonts w:hint="default" w:ascii="黑体" w:hAnsi="黑体" w:eastAsia="黑体" w:cs="Times New Roman"/>
      <w:b/>
      <w:sz w:val="32"/>
      <w:szCs w:val="24"/>
      <w:lang w:val="en-US" w:eastAsia="zh-CN" w:bidi="ar-SA"/>
    </w:rPr>
  </w:style>
  <w:style w:type="paragraph" w:customStyle="1" w:styleId="521">
    <w:name w:val="Normal_8_0"/>
    <w:qFormat/>
    <w:uiPriority w:val="0"/>
    <w:rPr>
      <w:rFonts w:hint="default" w:ascii="黑体" w:hAnsi="黑体" w:eastAsia="黑体" w:cs="Times New Roman"/>
      <w:b/>
      <w:sz w:val="32"/>
      <w:szCs w:val="24"/>
      <w:lang w:val="en-US" w:eastAsia="zh-CN" w:bidi="ar-SA"/>
    </w:rPr>
  </w:style>
  <w:style w:type="paragraph" w:customStyle="1" w:styleId="522">
    <w:name w:val="文档正文"/>
    <w:basedOn w:val="1"/>
    <w:qFormat/>
    <w:uiPriority w:val="0"/>
    <w:rPr>
      <w:rFonts w:ascii="宋体"/>
      <w:szCs w:val="20"/>
    </w:rPr>
  </w:style>
  <w:style w:type="paragraph" w:customStyle="1" w:styleId="523">
    <w:name w:val="技术方案正文"/>
    <w:basedOn w:val="1"/>
    <w:qFormat/>
    <w:uiPriority w:val="0"/>
    <w:pPr>
      <w:spacing w:line="360" w:lineRule="auto"/>
      <w:ind w:firstLine="480"/>
    </w:pPr>
    <w:rPr>
      <w:rFonts w:ascii="宋体"/>
      <w:sz w:val="24"/>
    </w:rPr>
  </w:style>
  <w:style w:type="paragraph" w:customStyle="1" w:styleId="52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25">
    <w:name w:val="普通正文"/>
    <w:basedOn w:val="1"/>
    <w:qFormat/>
    <w:uiPriority w:val="0"/>
    <w:pPr>
      <w:ind w:firstLine="425"/>
      <w:jc w:val="left"/>
    </w:pPr>
    <w:rPr>
      <w:rFonts w:ascii="宋体"/>
      <w:sz w:val="20"/>
      <w:szCs w:val="20"/>
    </w:rPr>
  </w:style>
  <w:style w:type="paragraph" w:customStyle="1" w:styleId="526">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27">
    <w:name w:val="Normal_0_2"/>
    <w:qFormat/>
    <w:uiPriority w:val="0"/>
    <w:rPr>
      <w:rFonts w:hint="default" w:ascii="黑体" w:hAnsi="黑体" w:eastAsia="黑体" w:cs="Times New Roman"/>
      <w:b/>
      <w:sz w:val="32"/>
      <w:szCs w:val="24"/>
      <w:lang w:val="en-US" w:eastAsia="zh-CN" w:bidi="ar-SA"/>
    </w:rPr>
  </w:style>
  <w:style w:type="paragraph" w:customStyle="1" w:styleId="52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29">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0">
    <w:name w:val="样式4"/>
    <w:basedOn w:val="222"/>
    <w:qFormat/>
    <w:uiPriority w:val="0"/>
    <w:pPr>
      <w:spacing w:line="415" w:lineRule="auto"/>
    </w:pPr>
    <w:rPr>
      <w:rFonts w:ascii="Calibri" w:hAnsi="Calibri"/>
      <w:bCs/>
      <w:color w:val="000000"/>
      <w:sz w:val="28"/>
      <w:szCs w:val="28"/>
    </w:rPr>
  </w:style>
  <w:style w:type="paragraph" w:customStyle="1" w:styleId="531">
    <w:name w:val="pa-4"/>
    <w:basedOn w:val="1"/>
    <w:qFormat/>
    <w:uiPriority w:val="0"/>
    <w:pPr>
      <w:widowControl/>
      <w:spacing w:line="280" w:lineRule="atLeast"/>
      <w:jc w:val="center"/>
    </w:pPr>
    <w:rPr>
      <w:rFonts w:ascii="宋体" w:cs="宋体"/>
      <w:sz w:val="24"/>
    </w:rPr>
  </w:style>
  <w:style w:type="paragraph" w:customStyle="1" w:styleId="532">
    <w:name w:val="Normal_1"/>
    <w:qFormat/>
    <w:uiPriority w:val="0"/>
    <w:rPr>
      <w:rFonts w:hint="default" w:ascii="黑体" w:hAnsi="黑体" w:eastAsia="黑体" w:cs="Times New Roman"/>
      <w:b/>
      <w:sz w:val="32"/>
      <w:szCs w:val="24"/>
      <w:lang w:val="en-US" w:eastAsia="zh-CN" w:bidi="ar-SA"/>
    </w:rPr>
  </w:style>
  <w:style w:type="paragraph" w:customStyle="1" w:styleId="533">
    <w:name w:val="标书3"/>
    <w:next w:val="434"/>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534">
    <w:name w:val="Char2"/>
    <w:basedOn w:val="1"/>
    <w:qFormat/>
    <w:uiPriority w:val="0"/>
    <w:pPr>
      <w:tabs>
        <w:tab w:val="left" w:pos="360"/>
      </w:tabs>
    </w:pPr>
    <w:rPr>
      <w:rFonts w:ascii="仿宋_GB2312" w:eastAsia="仿宋_GB2312"/>
      <w:b/>
      <w:sz w:val="24"/>
    </w:rPr>
  </w:style>
  <w:style w:type="paragraph" w:customStyle="1" w:styleId="535">
    <w:name w:val="正文_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6">
    <w:name w:val="正文（首行缩进两字）"/>
    <w:basedOn w:val="1"/>
    <w:qFormat/>
    <w:uiPriority w:val="0"/>
    <w:pPr>
      <w:spacing w:line="312" w:lineRule="auto"/>
    </w:pPr>
    <w:rPr>
      <w:rFonts w:ascii="宋体" w:cs="宋体"/>
      <w:sz w:val="24"/>
    </w:rPr>
  </w:style>
  <w:style w:type="paragraph" w:customStyle="1" w:styleId="537">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538">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9">
    <w:name w:val="正文_1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40">
    <w:name w:val="pa-3"/>
    <w:basedOn w:val="1"/>
    <w:qFormat/>
    <w:uiPriority w:val="0"/>
    <w:pPr>
      <w:widowControl/>
      <w:spacing w:before="150" w:after="150"/>
      <w:jc w:val="left"/>
    </w:pPr>
    <w:rPr>
      <w:rFonts w:ascii="宋体" w:cs="宋体"/>
      <w:sz w:val="24"/>
    </w:rPr>
  </w:style>
  <w:style w:type="paragraph" w:customStyle="1" w:styleId="541">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42">
    <w:name w:val="Normal_10_0"/>
    <w:qFormat/>
    <w:uiPriority w:val="0"/>
    <w:rPr>
      <w:rFonts w:hint="default" w:ascii="黑体" w:hAnsi="黑体" w:eastAsia="黑体" w:cs="Times New Roman"/>
      <w:b/>
      <w:sz w:val="32"/>
      <w:szCs w:val="24"/>
      <w:lang w:val="en-US" w:eastAsia="zh-CN" w:bidi="ar-SA"/>
    </w:rPr>
  </w:style>
  <w:style w:type="paragraph" w:customStyle="1" w:styleId="543">
    <w:name w:val="Normal_6"/>
    <w:qFormat/>
    <w:uiPriority w:val="0"/>
    <w:rPr>
      <w:rFonts w:hint="default" w:ascii="黑体" w:hAnsi="黑体" w:eastAsia="黑体" w:cs="Times New Roman"/>
      <w:b/>
      <w:sz w:val="32"/>
      <w:szCs w:val="24"/>
      <w:lang w:val="en-US" w:eastAsia="zh-CN" w:bidi="ar-SA"/>
    </w:rPr>
  </w:style>
  <w:style w:type="paragraph" w:customStyle="1" w:styleId="544">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45">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46">
    <w:name w:val="Body Text First Indent 21"/>
    <w:basedOn w:val="250"/>
    <w:qFormat/>
    <w:uiPriority w:val="99"/>
    <w:pPr>
      <w:ind w:firstLine="420"/>
    </w:pPr>
  </w:style>
  <w:style w:type="paragraph" w:customStyle="1" w:styleId="547">
    <w:name w:val="CM17"/>
    <w:basedOn w:val="1"/>
    <w:next w:val="1"/>
    <w:qFormat/>
    <w:uiPriority w:val="0"/>
    <w:pPr>
      <w:spacing w:after="273" w:line="360" w:lineRule="auto"/>
      <w:jc w:val="left"/>
    </w:pPr>
    <w:rPr>
      <w:rFonts w:ascii="宋体"/>
      <w:sz w:val="24"/>
    </w:rPr>
  </w:style>
  <w:style w:type="paragraph" w:customStyle="1" w:styleId="548">
    <w:name w:val="pa-0"/>
    <w:basedOn w:val="1"/>
    <w:qFormat/>
    <w:uiPriority w:val="0"/>
    <w:pPr>
      <w:widowControl/>
      <w:spacing w:line="360" w:lineRule="atLeast"/>
      <w:ind w:firstLine="480"/>
    </w:pPr>
    <w:rPr>
      <w:rFonts w:ascii="宋体" w:cs="宋体"/>
      <w:sz w:val="24"/>
    </w:rPr>
  </w:style>
  <w:style w:type="paragraph" w:customStyle="1" w:styleId="549">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0">
    <w:name w:val="D&amp;L"/>
    <w:basedOn w:val="268"/>
    <w:qFormat/>
    <w:uiPriority w:val="0"/>
    <w:pPr>
      <w:pBdr>
        <w:bottom w:val="single" w:color="000000" w:sz="18" w:space="1"/>
      </w:pBdr>
      <w:spacing w:line="240" w:lineRule="atLeast"/>
    </w:pPr>
    <w:rPr>
      <w:sz w:val="24"/>
      <w:szCs w:val="20"/>
    </w:rPr>
  </w:style>
  <w:style w:type="paragraph" w:customStyle="1" w:styleId="551">
    <w:name w:val="Normal_16"/>
    <w:qFormat/>
    <w:uiPriority w:val="0"/>
    <w:rPr>
      <w:rFonts w:hint="default" w:ascii="黑体" w:hAnsi="黑体" w:eastAsia="黑体" w:cs="Times New Roman"/>
      <w:b/>
      <w:sz w:val="32"/>
      <w:szCs w:val="24"/>
      <w:lang w:val="en-US" w:eastAsia="zh-CN" w:bidi="ar-SA"/>
    </w:rPr>
  </w:style>
  <w:style w:type="paragraph" w:customStyle="1" w:styleId="552">
    <w:name w:val="正文_6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3">
    <w:name w:val="font5"/>
    <w:basedOn w:val="1"/>
    <w:qFormat/>
    <w:uiPriority w:val="0"/>
    <w:pPr>
      <w:widowControl/>
      <w:spacing w:before="100" w:beforeAutospacing="1" w:after="100" w:afterAutospacing="1"/>
      <w:jc w:val="left"/>
    </w:pPr>
    <w:rPr>
      <w:rFonts w:ascii="宋体"/>
      <w:sz w:val="18"/>
      <w:szCs w:val="18"/>
    </w:rPr>
  </w:style>
  <w:style w:type="paragraph" w:customStyle="1" w:styleId="554">
    <w:name w:val="正文_6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5">
    <w:name w:val="大汉方案正文 Char"/>
    <w:basedOn w:val="1"/>
    <w:qFormat/>
    <w:uiPriority w:val="0"/>
    <w:pPr>
      <w:spacing w:line="360" w:lineRule="auto"/>
      <w:ind w:firstLine="200"/>
    </w:pPr>
    <w:rPr>
      <w:rFonts w:ascii="Arial" w:hAnsi="Arial"/>
      <w:sz w:val="24"/>
    </w:rPr>
  </w:style>
  <w:style w:type="paragraph" w:customStyle="1" w:styleId="556">
    <w:name w:val="样式2"/>
    <w:basedOn w:val="222"/>
    <w:qFormat/>
    <w:uiPriority w:val="0"/>
    <w:pPr>
      <w:spacing w:line="415" w:lineRule="auto"/>
    </w:pPr>
    <w:rPr>
      <w:rFonts w:ascii="Calibri" w:hAnsi="Calibri"/>
      <w:bCs/>
      <w:color w:val="000000"/>
      <w:sz w:val="28"/>
      <w:szCs w:val="28"/>
    </w:rPr>
  </w:style>
  <w:style w:type="paragraph" w:customStyle="1" w:styleId="557">
    <w:name w:val="Normal_2_0"/>
    <w:qFormat/>
    <w:uiPriority w:val="0"/>
    <w:rPr>
      <w:rFonts w:hint="default" w:ascii="黑体" w:hAnsi="黑体" w:eastAsia="黑体" w:cs="Times New Roman"/>
      <w:b/>
      <w:sz w:val="32"/>
      <w:szCs w:val="24"/>
      <w:lang w:val="en-US" w:eastAsia="zh-CN" w:bidi="ar-SA"/>
    </w:rPr>
  </w:style>
  <w:style w:type="paragraph" w:customStyle="1" w:styleId="558">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59">
    <w:name w:val="Normal_4"/>
    <w:qFormat/>
    <w:uiPriority w:val="0"/>
    <w:rPr>
      <w:rFonts w:hint="default" w:ascii="黑体" w:hAnsi="黑体" w:eastAsia="黑体" w:cs="Times New Roman"/>
      <w:b/>
      <w:sz w:val="32"/>
      <w:szCs w:val="24"/>
      <w:lang w:val="en-US" w:eastAsia="zh-CN" w:bidi="ar-SA"/>
    </w:rPr>
  </w:style>
  <w:style w:type="paragraph" w:customStyle="1" w:styleId="56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1">
    <w:name w:val="txt"/>
    <w:basedOn w:val="1"/>
    <w:qFormat/>
    <w:uiPriority w:val="0"/>
    <w:pPr>
      <w:widowControl/>
      <w:spacing w:before="100" w:beforeAutospacing="1" w:after="100" w:afterAutospacing="1"/>
      <w:jc w:val="left"/>
    </w:pPr>
    <w:rPr>
      <w:rFonts w:ascii="宋体" w:cs="宋体"/>
      <w:sz w:val="24"/>
    </w:rPr>
  </w:style>
  <w:style w:type="paragraph" w:customStyle="1" w:styleId="562">
    <w:name w:val="样式5"/>
    <w:basedOn w:val="222"/>
    <w:qFormat/>
    <w:uiPriority w:val="0"/>
    <w:pPr>
      <w:spacing w:line="415" w:lineRule="auto"/>
    </w:pPr>
    <w:rPr>
      <w:rFonts w:ascii="Calibri" w:hAnsi="Calibri"/>
      <w:bCs/>
      <w:color w:val="000000"/>
      <w:sz w:val="28"/>
      <w:szCs w:val="28"/>
    </w:rPr>
  </w:style>
  <w:style w:type="paragraph" w:customStyle="1" w:styleId="563">
    <w:name w:val="font7"/>
    <w:basedOn w:val="1"/>
    <w:qFormat/>
    <w:uiPriority w:val="0"/>
    <w:pPr>
      <w:widowControl/>
      <w:spacing w:before="100" w:beforeAutospacing="1" w:after="100" w:afterAutospacing="1"/>
      <w:jc w:val="left"/>
    </w:pPr>
    <w:rPr>
      <w:rFonts w:ascii="宋体"/>
      <w:sz w:val="20"/>
      <w:szCs w:val="20"/>
    </w:rPr>
  </w:style>
  <w:style w:type="paragraph" w:customStyle="1" w:styleId="564">
    <w:name w:val="正文_4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66">
    <w:name w:val="编号"/>
    <w:basedOn w:val="1"/>
    <w:next w:val="434"/>
    <w:qFormat/>
    <w:uiPriority w:val="0"/>
    <w:pPr>
      <w:widowControl/>
      <w:tabs>
        <w:tab w:val="left" w:pos="420"/>
      </w:tabs>
      <w:ind w:left="420" w:right="-136" w:hanging="420"/>
    </w:pPr>
    <w:rPr>
      <w:rFonts w:ascii="仿宋_GB2312" w:eastAsia="仿宋_GB2312"/>
      <w:b/>
      <w:bCs/>
      <w:sz w:val="24"/>
      <w:szCs w:val="21"/>
    </w:rPr>
  </w:style>
  <w:style w:type="paragraph" w:customStyle="1" w:styleId="567">
    <w:name w:val="TOC 标题2"/>
    <w:basedOn w:val="220"/>
    <w:next w:val="1"/>
    <w:qFormat/>
    <w:uiPriority w:val="0"/>
    <w:pPr>
      <w:widowControl/>
      <w:spacing w:before="480" w:after="0" w:line="276" w:lineRule="auto"/>
      <w:outlineLvl w:val="9"/>
    </w:pPr>
    <w:rPr>
      <w:rFonts w:ascii="Cambria" w:hAnsi="Cambria"/>
      <w:color w:val="365F91"/>
      <w:sz w:val="28"/>
    </w:rPr>
  </w:style>
  <w:style w:type="paragraph" w:customStyle="1" w:styleId="568">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69">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70">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71">
    <w:name w:val="Char Char Char Char Char Char Char Char Char Char1"/>
    <w:basedOn w:val="1"/>
    <w:qFormat/>
    <w:uiPriority w:val="0"/>
    <w:rPr>
      <w:rFonts w:ascii="Tahoma" w:hAnsi="Tahoma" w:cs="Tahoma"/>
      <w:sz w:val="24"/>
    </w:rPr>
  </w:style>
  <w:style w:type="paragraph" w:customStyle="1" w:styleId="572">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73">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74">
    <w:name w:val="正文_1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5">
    <w:name w:val="Normal_11"/>
    <w:qFormat/>
    <w:uiPriority w:val="0"/>
    <w:rPr>
      <w:rFonts w:hint="default" w:ascii="黑体" w:hAnsi="黑体" w:eastAsia="黑体" w:cs="Times New Roman"/>
      <w:b/>
      <w:sz w:val="32"/>
      <w:szCs w:val="24"/>
      <w:lang w:val="en-US" w:eastAsia="zh-CN" w:bidi="ar-SA"/>
    </w:rPr>
  </w:style>
  <w:style w:type="paragraph" w:customStyle="1" w:styleId="576">
    <w:name w:val="Char12"/>
    <w:basedOn w:val="1"/>
    <w:qFormat/>
    <w:uiPriority w:val="0"/>
    <w:pPr>
      <w:tabs>
        <w:tab w:val="left" w:pos="360"/>
      </w:tabs>
      <w:spacing w:line="480" w:lineRule="auto"/>
      <w:ind w:left="360" w:right="202" w:firstLine="360"/>
    </w:pPr>
    <w:rPr>
      <w:sz w:val="24"/>
    </w:rPr>
  </w:style>
  <w:style w:type="paragraph" w:customStyle="1" w:styleId="577">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57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79">
    <w:name w:val="正文_1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0">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81">
    <w:name w:val="样式 标题 2 + Times New Roman 四号 非加粗 段前: 5 磅 段后: 0 磅 行距: 固定值 20..."/>
    <w:basedOn w:val="221"/>
    <w:qFormat/>
    <w:uiPriority w:val="0"/>
    <w:pPr>
      <w:spacing w:before="100" w:after="0" w:line="400" w:lineRule="exact"/>
    </w:pPr>
    <w:rPr>
      <w:rFonts w:ascii="Times New Roman" w:hAnsi="Times New Roman" w:cs="宋体"/>
      <w:b w:val="0"/>
      <w:sz w:val="28"/>
    </w:rPr>
  </w:style>
  <w:style w:type="paragraph" w:customStyle="1" w:styleId="582">
    <w:name w:val="font6"/>
    <w:basedOn w:val="1"/>
    <w:qFormat/>
    <w:uiPriority w:val="0"/>
    <w:pPr>
      <w:widowControl/>
      <w:spacing w:before="100" w:beforeAutospacing="1" w:after="100" w:afterAutospacing="1"/>
      <w:jc w:val="left"/>
    </w:pPr>
    <w:rPr>
      <w:sz w:val="20"/>
      <w:szCs w:val="20"/>
    </w:rPr>
  </w:style>
  <w:style w:type="paragraph" w:customStyle="1" w:styleId="583">
    <w:name w:val="样式 正文首行缩进 + 宋体 首行缩进:  0.74 厘米"/>
    <w:basedOn w:val="289"/>
    <w:qFormat/>
    <w:uiPriority w:val="0"/>
    <w:pPr>
      <w:spacing w:before="120" w:after="0" w:line="380" w:lineRule="exact"/>
      <w:ind w:firstLine="210"/>
    </w:pPr>
    <w:rPr>
      <w:rFonts w:ascii="宋体" w:cs="宋体"/>
      <w:sz w:val="24"/>
      <w:szCs w:val="20"/>
    </w:rPr>
  </w:style>
  <w:style w:type="paragraph" w:customStyle="1" w:styleId="584">
    <w:name w:val="正文_7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5">
    <w:name w:val="Normal_17_0"/>
    <w:qFormat/>
    <w:uiPriority w:val="0"/>
    <w:rPr>
      <w:rFonts w:hint="default" w:ascii="黑体" w:hAnsi="黑体" w:eastAsia="黑体" w:cs="Times New Roman"/>
      <w:b/>
      <w:sz w:val="32"/>
      <w:szCs w:val="24"/>
      <w:lang w:val="en-US" w:eastAsia="zh-CN" w:bidi="ar-SA"/>
    </w:rPr>
  </w:style>
  <w:style w:type="paragraph" w:customStyle="1" w:styleId="586">
    <w:name w:val="Char Char Char Char Char Char Char Char Char Char2"/>
    <w:basedOn w:val="1"/>
    <w:qFormat/>
    <w:uiPriority w:val="0"/>
    <w:rPr>
      <w:rFonts w:ascii="Tahoma" w:hAnsi="Tahoma"/>
      <w:sz w:val="24"/>
      <w:szCs w:val="20"/>
    </w:rPr>
  </w:style>
  <w:style w:type="paragraph" w:customStyle="1" w:styleId="587">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588">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589">
    <w:name w:val="Char Char Char Char Char Char Char1 Char"/>
    <w:basedOn w:val="1"/>
    <w:qFormat/>
    <w:uiPriority w:val="0"/>
    <w:rPr>
      <w:rFonts w:ascii="Tahoma" w:hAnsi="Tahoma"/>
      <w:sz w:val="24"/>
      <w:szCs w:val="20"/>
    </w:rPr>
  </w:style>
  <w:style w:type="paragraph" w:customStyle="1" w:styleId="590">
    <w:name w:val="Char Char1 Char Char Char Char Char Char"/>
    <w:basedOn w:val="1"/>
    <w:qFormat/>
    <w:uiPriority w:val="0"/>
    <w:pPr>
      <w:widowControl/>
      <w:jc w:val="center"/>
    </w:pPr>
    <w:rPr>
      <w:szCs w:val="20"/>
    </w:rPr>
  </w:style>
  <w:style w:type="paragraph" w:customStyle="1" w:styleId="591">
    <w:name w:val="Normal Paragraph Char"/>
    <w:basedOn w:val="1"/>
    <w:qFormat/>
    <w:uiPriority w:val="0"/>
    <w:pPr>
      <w:widowControl/>
      <w:spacing w:before="120" w:line="360" w:lineRule="auto"/>
      <w:ind w:firstLine="425"/>
    </w:pPr>
    <w:rPr>
      <w:rFonts w:ascii="Calibri" w:hAnsi="Calibri"/>
      <w:sz w:val="24"/>
    </w:rPr>
  </w:style>
  <w:style w:type="paragraph" w:customStyle="1" w:styleId="592">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93">
    <w:name w:val="默认段落字体 Para Char"/>
    <w:basedOn w:val="1"/>
    <w:qFormat/>
    <w:uiPriority w:val="0"/>
    <w:rPr>
      <w:rFonts w:ascii="宋体"/>
      <w:b/>
      <w:sz w:val="28"/>
      <w:szCs w:val="28"/>
    </w:rPr>
  </w:style>
  <w:style w:type="paragraph" w:customStyle="1" w:styleId="594">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5">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6">
    <w:name w:val="Char Char Char1"/>
    <w:basedOn w:val="1"/>
    <w:qFormat/>
    <w:uiPriority w:val="0"/>
    <w:rPr>
      <w:rFonts w:ascii="Tahoma" w:hAnsi="Tahoma"/>
      <w:sz w:val="24"/>
      <w:szCs w:val="20"/>
    </w:rPr>
  </w:style>
  <w:style w:type="paragraph" w:customStyle="1" w:styleId="597">
    <w:name w:val="Normal1"/>
    <w:qFormat/>
    <w:uiPriority w:val="0"/>
    <w:rPr>
      <w:rFonts w:hint="default" w:ascii="Times New Roman" w:hAnsi="Times New Roman" w:eastAsia="Times New Roman" w:cs="Times New Roman"/>
      <w:sz w:val="24"/>
      <w:szCs w:val="24"/>
      <w:lang w:val="en-US" w:eastAsia="zh-CN" w:bidi="ar-SA"/>
    </w:rPr>
  </w:style>
  <w:style w:type="paragraph" w:customStyle="1" w:styleId="598">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99">
    <w:name w:val="表格"/>
    <w:basedOn w:val="1"/>
    <w:qFormat/>
    <w:uiPriority w:val="0"/>
    <w:pPr>
      <w:ind w:firstLine="21"/>
    </w:pPr>
    <w:rPr>
      <w:rFonts w:ascii="宋体"/>
      <w:szCs w:val="20"/>
    </w:rPr>
  </w:style>
  <w:style w:type="paragraph" w:customStyle="1" w:styleId="600">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1">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2">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3">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04">
    <w:name w:val="项目"/>
    <w:basedOn w:val="1"/>
    <w:qFormat/>
    <w:uiPriority w:val="0"/>
    <w:pPr>
      <w:tabs>
        <w:tab w:val="left" w:pos="840"/>
      </w:tabs>
      <w:spacing w:before="60" w:after="60" w:line="360" w:lineRule="auto"/>
      <w:ind w:left="840" w:hanging="420"/>
    </w:pPr>
    <w:rPr>
      <w:rFonts w:ascii="宋体"/>
      <w:szCs w:val="20"/>
    </w:rPr>
  </w:style>
  <w:style w:type="paragraph" w:customStyle="1" w:styleId="605">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6">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60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608">
    <w:name w:val="正文_9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9">
    <w:name w:val="规范正文"/>
    <w:basedOn w:val="1"/>
    <w:qFormat/>
    <w:uiPriority w:val="0"/>
    <w:pPr>
      <w:spacing w:line="360" w:lineRule="auto"/>
      <w:ind w:left="480"/>
    </w:pPr>
    <w:rPr>
      <w:sz w:val="24"/>
      <w:szCs w:val="20"/>
    </w:rPr>
  </w:style>
  <w:style w:type="paragraph" w:customStyle="1" w:styleId="610">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611">
    <w:name w:val="正文_8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2">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3">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4">
    <w:name w:val="正文_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5">
    <w:name w:val="特点"/>
    <w:basedOn w:val="1"/>
    <w:next w:val="1"/>
    <w:qFormat/>
    <w:uiPriority w:val="0"/>
    <w:pPr>
      <w:spacing w:line="360" w:lineRule="auto"/>
      <w:jc w:val="center"/>
    </w:pPr>
    <w:rPr>
      <w:rFonts w:ascii="Arial" w:hAnsi="Arial"/>
      <w:sz w:val="24"/>
      <w:szCs w:val="20"/>
    </w:rPr>
  </w:style>
  <w:style w:type="paragraph" w:customStyle="1" w:styleId="616">
    <w:name w:val="正文小四"/>
    <w:basedOn w:val="1"/>
    <w:qFormat/>
    <w:uiPriority w:val="0"/>
    <w:pPr>
      <w:spacing w:line="312" w:lineRule="auto"/>
    </w:pPr>
    <w:rPr>
      <w:rFonts w:ascii="Calibri" w:hAnsi="Calibri"/>
      <w:sz w:val="24"/>
    </w:rPr>
  </w:style>
  <w:style w:type="paragraph" w:customStyle="1" w:styleId="617">
    <w:name w:val="Normal_15_0"/>
    <w:qFormat/>
    <w:uiPriority w:val="0"/>
    <w:rPr>
      <w:rFonts w:hint="default" w:ascii="黑体" w:hAnsi="黑体" w:eastAsia="黑体" w:cs="Times New Roman"/>
      <w:b/>
      <w:sz w:val="32"/>
      <w:szCs w:val="24"/>
      <w:lang w:val="en-US" w:eastAsia="zh-CN" w:bidi="ar-SA"/>
    </w:rPr>
  </w:style>
  <w:style w:type="paragraph" w:customStyle="1" w:styleId="618">
    <w:name w:val="tabletext"/>
    <w:basedOn w:val="1"/>
    <w:qFormat/>
    <w:uiPriority w:val="0"/>
    <w:pPr>
      <w:widowControl/>
      <w:spacing w:before="100" w:beforeAutospacing="1" w:after="100" w:afterAutospacing="1"/>
      <w:jc w:val="left"/>
    </w:pPr>
    <w:rPr>
      <w:rFonts w:ascii="宋体"/>
      <w:sz w:val="24"/>
    </w:rPr>
  </w:style>
  <w:style w:type="paragraph" w:customStyle="1" w:styleId="619">
    <w:name w:val="表内容"/>
    <w:basedOn w:val="450"/>
    <w:qFormat/>
    <w:uiPriority w:val="0"/>
    <w:pPr>
      <w:spacing w:line="320" w:lineRule="exact"/>
      <w:ind w:left="0" w:firstLine="0"/>
    </w:pPr>
    <w:rPr>
      <w:sz w:val="20"/>
    </w:rPr>
  </w:style>
  <w:style w:type="paragraph" w:customStyle="1" w:styleId="620">
    <w:name w:val="Char13"/>
    <w:basedOn w:val="1"/>
    <w:qFormat/>
    <w:uiPriority w:val="0"/>
  </w:style>
  <w:style w:type="paragraph" w:customStyle="1" w:styleId="621">
    <w:name w:val="我的样式"/>
    <w:basedOn w:val="1"/>
    <w:qFormat/>
    <w:uiPriority w:val="0"/>
    <w:pPr>
      <w:widowControl/>
      <w:spacing w:after="120"/>
      <w:ind w:firstLine="420"/>
      <w:jc w:val="left"/>
    </w:pPr>
    <w:rPr>
      <w:rFonts w:ascii="宋体"/>
      <w:color w:val="000000"/>
      <w:sz w:val="24"/>
      <w:szCs w:val="16"/>
    </w:rPr>
  </w:style>
  <w:style w:type="paragraph" w:customStyle="1" w:styleId="622">
    <w:name w:val="正文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3">
    <w:name w:val="编号1"/>
    <w:next w:val="434"/>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624">
    <w:name w:val="Normal_0"/>
    <w:qFormat/>
    <w:uiPriority w:val="0"/>
    <w:rPr>
      <w:rFonts w:hint="default" w:ascii="黑体" w:hAnsi="黑体" w:eastAsia="黑体" w:cs="Times New Roman"/>
      <w:b/>
      <w:sz w:val="32"/>
      <w:szCs w:val="24"/>
      <w:lang w:val="en-US" w:eastAsia="zh-CN" w:bidi="ar-SA"/>
    </w:rPr>
  </w:style>
  <w:style w:type="paragraph" w:customStyle="1" w:styleId="625">
    <w:name w:val="首页单位日期"/>
    <w:basedOn w:val="1"/>
    <w:qFormat/>
    <w:uiPriority w:val="0"/>
    <w:pPr>
      <w:widowControl/>
      <w:jc w:val="center"/>
    </w:pPr>
    <w:rPr>
      <w:rFonts w:ascii="宋体" w:cs="宋体"/>
      <w:bCs/>
      <w:sz w:val="28"/>
      <w:szCs w:val="20"/>
    </w:rPr>
  </w:style>
  <w:style w:type="paragraph" w:customStyle="1" w:styleId="626">
    <w:name w:val="Normal Paragraph"/>
    <w:basedOn w:val="1"/>
    <w:qFormat/>
    <w:uiPriority w:val="0"/>
    <w:pPr>
      <w:widowControl/>
      <w:spacing w:before="120" w:line="360" w:lineRule="auto"/>
      <w:ind w:firstLine="425"/>
    </w:pPr>
    <w:rPr>
      <w:rFonts w:ascii="Calibri" w:hAnsi="Calibri"/>
      <w:sz w:val="24"/>
      <w:szCs w:val="20"/>
    </w:rPr>
  </w:style>
  <w:style w:type="paragraph" w:customStyle="1" w:styleId="627">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28">
    <w:name w:val="È±Ê¡ÎÄ±¾"/>
    <w:basedOn w:val="1"/>
    <w:qFormat/>
    <w:uiPriority w:val="0"/>
    <w:pPr>
      <w:widowControl/>
      <w:spacing w:line="360" w:lineRule="auto"/>
      <w:jc w:val="left"/>
    </w:pPr>
    <w:rPr>
      <w:sz w:val="24"/>
      <w:szCs w:val="20"/>
    </w:rPr>
  </w:style>
  <w:style w:type="paragraph" w:customStyle="1" w:styleId="629">
    <w:name w:val="Char Char Char Char Char Char Char Char Char Char3"/>
    <w:basedOn w:val="1"/>
    <w:qFormat/>
    <w:uiPriority w:val="0"/>
    <w:rPr>
      <w:rFonts w:ascii="Tahoma" w:hAnsi="Tahoma"/>
      <w:sz w:val="24"/>
      <w:szCs w:val="20"/>
    </w:rPr>
  </w:style>
  <w:style w:type="paragraph" w:customStyle="1" w:styleId="630">
    <w:name w:val="a1"/>
    <w:basedOn w:val="1"/>
    <w:qFormat/>
    <w:uiPriority w:val="0"/>
    <w:pPr>
      <w:widowControl/>
      <w:spacing w:before="100" w:beforeAutospacing="1" w:after="100" w:afterAutospacing="1"/>
      <w:jc w:val="left"/>
    </w:pPr>
    <w:rPr>
      <w:rFonts w:ascii="宋体"/>
      <w:sz w:val="24"/>
    </w:rPr>
  </w:style>
  <w:style w:type="paragraph" w:customStyle="1" w:styleId="631">
    <w:name w:val="正文_1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2">
    <w:name w:val="正文_11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34">
    <w:name w:val="正文段"/>
    <w:basedOn w:val="1"/>
    <w:qFormat/>
    <w:uiPriority w:val="0"/>
    <w:pPr>
      <w:widowControl/>
      <w:spacing w:after="240" w:line="240" w:lineRule="atLeast"/>
      <w:ind w:firstLine="425"/>
    </w:pPr>
    <w:rPr>
      <w:sz w:val="24"/>
      <w:szCs w:val="20"/>
    </w:rPr>
  </w:style>
  <w:style w:type="paragraph" w:customStyle="1" w:styleId="635">
    <w:name w:val="Normal_16_0"/>
    <w:qFormat/>
    <w:uiPriority w:val="0"/>
    <w:rPr>
      <w:rFonts w:hint="default" w:ascii="黑体" w:hAnsi="黑体" w:eastAsia="黑体" w:cs="Times New Roman"/>
      <w:b/>
      <w:sz w:val="32"/>
      <w:szCs w:val="24"/>
      <w:lang w:val="en-US" w:eastAsia="zh-CN" w:bidi="ar-SA"/>
    </w:rPr>
  </w:style>
  <w:style w:type="paragraph" w:customStyle="1" w:styleId="636">
    <w:name w:val="Normal_17"/>
    <w:qFormat/>
    <w:uiPriority w:val="0"/>
    <w:rPr>
      <w:rFonts w:hint="default" w:ascii="黑体" w:hAnsi="黑体" w:eastAsia="黑体" w:cs="Times New Roman"/>
      <w:b/>
      <w:sz w:val="32"/>
      <w:szCs w:val="24"/>
      <w:lang w:val="en-US" w:eastAsia="zh-CN" w:bidi="ar-SA"/>
    </w:rPr>
  </w:style>
  <w:style w:type="paragraph" w:customStyle="1" w:styleId="637">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38">
    <w:name w:val="列出段落[858D7CFB-ED40-4347-BF05-701D383B685F][858D7CFB-ED40-4347-BF05-701D383B685F]"/>
    <w:basedOn w:val="1"/>
    <w:qFormat/>
    <w:uiPriority w:val="0"/>
    <w:pPr>
      <w:ind w:firstLine="200"/>
    </w:pPr>
    <w:rPr>
      <w:rFonts w:ascii="Calibri" w:hAnsi="Calibri"/>
    </w:rPr>
  </w:style>
  <w:style w:type="paragraph" w:customStyle="1" w:styleId="639">
    <w:name w:val="缺省文本"/>
    <w:basedOn w:val="1"/>
    <w:qFormat/>
    <w:uiPriority w:val="0"/>
    <w:pPr>
      <w:jc w:val="left"/>
    </w:pPr>
    <w:rPr>
      <w:sz w:val="24"/>
      <w:szCs w:val="20"/>
    </w:rPr>
  </w:style>
  <w:style w:type="paragraph" w:customStyle="1" w:styleId="640">
    <w:name w:val="Normal_13"/>
    <w:qFormat/>
    <w:uiPriority w:val="0"/>
    <w:rPr>
      <w:rFonts w:hint="default" w:ascii="黑体" w:hAnsi="黑体" w:eastAsia="黑体" w:cs="Times New Roman"/>
      <w:b/>
      <w:sz w:val="32"/>
      <w:szCs w:val="24"/>
      <w:lang w:val="en-US" w:eastAsia="zh-CN" w:bidi="ar-SA"/>
    </w:rPr>
  </w:style>
  <w:style w:type="paragraph" w:customStyle="1" w:styleId="641">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642">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43">
    <w:name w:val="附图居中"/>
    <w:basedOn w:val="1"/>
    <w:next w:val="476"/>
    <w:qFormat/>
    <w:uiPriority w:val="0"/>
    <w:pPr>
      <w:keepNext/>
      <w:tabs>
        <w:tab w:val="left" w:pos="0"/>
      </w:tabs>
      <w:spacing w:line="360" w:lineRule="auto"/>
      <w:ind w:left="1271" w:hanging="420"/>
      <w:jc w:val="center"/>
    </w:pPr>
    <w:rPr>
      <w:caps/>
      <w:sz w:val="24"/>
    </w:rPr>
  </w:style>
  <w:style w:type="paragraph" w:customStyle="1" w:styleId="644">
    <w:name w:val="正文_0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45">
    <w:name w:val="正文 + 宋体"/>
    <w:basedOn w:val="1"/>
    <w:qFormat/>
    <w:uiPriority w:val="0"/>
    <w:pPr>
      <w:ind w:firstLine="250"/>
    </w:pPr>
    <w:rPr>
      <w:rFonts w:ascii="宋体"/>
      <w:szCs w:val="21"/>
    </w:rPr>
  </w:style>
  <w:style w:type="paragraph" w:customStyle="1" w:styleId="646">
    <w:name w:val="Normal_5"/>
    <w:qFormat/>
    <w:uiPriority w:val="0"/>
    <w:rPr>
      <w:rFonts w:hint="default" w:ascii="黑体" w:hAnsi="黑体" w:eastAsia="黑体" w:cs="Times New Roman"/>
      <w:b/>
      <w:sz w:val="32"/>
      <w:szCs w:val="24"/>
      <w:lang w:val="en-US" w:eastAsia="zh-CN" w:bidi="ar-SA"/>
    </w:rPr>
  </w:style>
  <w:style w:type="paragraph" w:customStyle="1" w:styleId="647">
    <w:name w:val="Normal_13_0"/>
    <w:qFormat/>
    <w:uiPriority w:val="0"/>
    <w:rPr>
      <w:rFonts w:hint="default" w:ascii="黑体" w:hAnsi="黑体" w:eastAsia="黑体" w:cs="Times New Roman"/>
      <w:b/>
      <w:sz w:val="32"/>
      <w:szCs w:val="24"/>
      <w:lang w:val="en-US" w:eastAsia="zh-CN" w:bidi="ar-SA"/>
    </w:rPr>
  </w:style>
  <w:style w:type="paragraph" w:customStyle="1" w:styleId="648">
    <w:name w:val="Normal_14"/>
    <w:qFormat/>
    <w:uiPriority w:val="0"/>
    <w:rPr>
      <w:rFonts w:hint="default" w:ascii="黑体" w:hAnsi="黑体" w:eastAsia="黑体" w:cs="Times New Roman"/>
      <w:b/>
      <w:sz w:val="32"/>
      <w:szCs w:val="24"/>
      <w:lang w:val="en-US" w:eastAsia="zh-CN" w:bidi="ar-SA"/>
    </w:rPr>
  </w:style>
  <w:style w:type="paragraph" w:customStyle="1" w:styleId="649">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0">
    <w:name w:val="正文_7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51">
    <w:name w:val="Normal_3_0"/>
    <w:qFormat/>
    <w:uiPriority w:val="0"/>
    <w:rPr>
      <w:rFonts w:hint="default" w:ascii="黑体" w:hAnsi="黑体" w:eastAsia="黑体" w:cs="Times New Roman"/>
      <w:b/>
      <w:sz w:val="32"/>
      <w:szCs w:val="24"/>
      <w:lang w:val="en-US" w:eastAsia="zh-CN" w:bidi="ar-SA"/>
    </w:rPr>
  </w:style>
  <w:style w:type="paragraph" w:customStyle="1" w:styleId="652">
    <w:name w:val="保密事宜格式"/>
    <w:basedOn w:val="240"/>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53">
    <w:name w:val="样式 正文缩进 + (中文) 仿宋_GB2312 小四 Char"/>
    <w:basedOn w:val="239"/>
    <w:qFormat/>
    <w:uiPriority w:val="0"/>
    <w:pPr>
      <w:spacing w:line="360" w:lineRule="auto"/>
      <w:ind w:firstLine="200"/>
    </w:pPr>
    <w:rPr>
      <w:szCs w:val="24"/>
    </w:rPr>
  </w:style>
  <w:style w:type="paragraph" w:customStyle="1" w:styleId="654">
    <w:name w:val="默认段落字体 Para Char Char Char Char Char Char Char Char Char Char Char Char Char Char"/>
    <w:basedOn w:val="244"/>
    <w:qFormat/>
    <w:uiPriority w:val="0"/>
    <w:rPr>
      <w:rFonts w:ascii="Tahoma" w:hAnsi="Tahoma"/>
      <w:sz w:val="24"/>
    </w:rPr>
  </w:style>
  <w:style w:type="character" w:customStyle="1" w:styleId="655">
    <w:name w:val="font71"/>
    <w:basedOn w:val="36"/>
    <w:qFormat/>
    <w:uiPriority w:val="0"/>
    <w:rPr>
      <w:rFonts w:hint="eastAsia" w:ascii="宋体" w:hAnsi="宋体" w:eastAsia="宋体" w:cs="宋体"/>
      <w:color w:val="FF0000"/>
      <w:sz w:val="24"/>
      <w:szCs w:val="24"/>
      <w:u w:val="none"/>
    </w:rPr>
  </w:style>
  <w:style w:type="paragraph" w:customStyle="1" w:styleId="656">
    <w:name w:val="正文缩进1"/>
    <w:basedOn w:val="1"/>
    <w:qFormat/>
    <w:uiPriority w:val="0"/>
    <w:pPr>
      <w:ind w:firstLine="420"/>
    </w:pPr>
    <w:rPr>
      <w:szCs w:val="20"/>
    </w:rPr>
  </w:style>
  <w:style w:type="character" w:customStyle="1" w:styleId="657">
    <w:name w:val="占位符文本1"/>
    <w:qFormat/>
    <w:uiPriority w:val="99"/>
    <w:rPr>
      <w:color w:val="808080"/>
    </w:rPr>
  </w:style>
  <w:style w:type="paragraph" w:customStyle="1" w:styleId="658">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59">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60">
    <w:name w:val="正文文本11"/>
    <w:basedOn w:val="1"/>
    <w:next w:val="1"/>
    <w:qFormat/>
    <w:uiPriority w:val="0"/>
    <w:rPr>
      <w:rFonts w:ascii="楷体_GB2312" w:hAnsi="Arial" w:eastAsia="楷体_GB2312"/>
      <w:sz w:val="28"/>
      <w:szCs w:val="28"/>
    </w:rPr>
  </w:style>
  <w:style w:type="paragraph" w:customStyle="1" w:styleId="661">
    <w:name w:val="Table Text"/>
    <w:basedOn w:val="1"/>
    <w:semiHidden/>
    <w:qFormat/>
    <w:uiPriority w:val="0"/>
    <w:rPr>
      <w:rFonts w:ascii="宋体" w:hAnsi="宋体" w:cs="宋体"/>
      <w:sz w:val="17"/>
      <w:szCs w:val="17"/>
      <w:lang w:eastAsia="en-US"/>
    </w:rPr>
  </w:style>
  <w:style w:type="table" w:customStyle="1" w:styleId="662">
    <w:name w:val="Table Normal"/>
    <w:unhideWhenUsed/>
    <w:qFormat/>
    <w:uiPriority w:val="0"/>
    <w:tblPr>
      <w:tblCellMar>
        <w:top w:w="0" w:type="dxa"/>
        <w:left w:w="0" w:type="dxa"/>
        <w:bottom w:w="0" w:type="dxa"/>
        <w:right w:w="0" w:type="dxa"/>
      </w:tblCellMar>
    </w:tblPr>
  </w:style>
  <w:style w:type="character" w:customStyle="1" w:styleId="663">
    <w:name w:val="mark"/>
    <w:qFormat/>
    <w:uiPriority w:val="0"/>
    <w:rPr>
      <w:rFonts w:ascii="Times New Roman" w:hAnsi="Times New Roman" w:eastAsia="宋体" w:cs="Times New Roman"/>
    </w:rPr>
  </w:style>
  <w:style w:type="paragraph" w:customStyle="1" w:styleId="664">
    <w:name w:val="标题 311"/>
    <w:basedOn w:val="1"/>
    <w:next w:val="1"/>
    <w:qFormat/>
    <w:uiPriority w:val="0"/>
    <w:pPr>
      <w:keepNext/>
      <w:keepLines/>
      <w:spacing w:before="260" w:after="260" w:line="416" w:lineRule="auto"/>
      <w:outlineLvl w:val="2"/>
    </w:pPr>
    <w:rPr>
      <w:b/>
      <w:sz w:val="32"/>
      <w:szCs w:val="20"/>
    </w:rPr>
  </w:style>
  <w:style w:type="paragraph" w:customStyle="1" w:styleId="665">
    <w:name w:val="修订2"/>
    <w:hidden/>
    <w:unhideWhenUsed/>
    <w:qFormat/>
    <w:uiPriority w:val="99"/>
    <w:rPr>
      <w:rFonts w:hint="default" w:ascii="Times New Roman" w:hAnsi="Times New Roman" w:eastAsia="宋体" w:cs="Times New Roman"/>
      <w:sz w:val="21"/>
      <w:szCs w:val="22"/>
      <w:lang w:val="en-US" w:eastAsia="zh-CN" w:bidi="ar-SA"/>
    </w:rPr>
  </w:style>
  <w:style w:type="paragraph" w:customStyle="1" w:styleId="666">
    <w:name w:val="列表段落2"/>
    <w:basedOn w:val="1"/>
    <w:qFormat/>
    <w:uiPriority w:val="0"/>
    <w:pPr>
      <w:ind w:firstLine="420"/>
    </w:pPr>
  </w:style>
  <w:style w:type="character" w:customStyle="1" w:styleId="667">
    <w:name w:val="标题 2 Char"/>
    <w:qFormat/>
    <w:uiPriority w:val="0"/>
    <w:rPr>
      <w:rFonts w:ascii="Cambria" w:hAnsi="Cambria" w:eastAsia="宋体" w:cs="Times New Roman"/>
      <w:b/>
      <w:bCs/>
      <w:sz w:val="32"/>
      <w:szCs w:val="32"/>
      <w14:ligatures w14:val="none"/>
    </w:rPr>
  </w:style>
  <w:style w:type="character" w:customStyle="1" w:styleId="668">
    <w:name w:val="列表段落 字符"/>
    <w:link w:val="455"/>
    <w:qFormat/>
    <w:uiPriority w:val="34"/>
    <w:rPr>
      <w:rFonts w:ascii="Calibri" w:hAnsi="Calibri"/>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EA5633-B521-4C11-83B2-3320347C969B}">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62</Pages>
  <Words>159</Words>
  <Characters>184</Characters>
  <TotalTime>25</TotalTime>
  <ScaleCrop>false</ScaleCrop>
  <LinksUpToDate>false</LinksUpToDate>
  <CharactersWithSpaces>219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2023-04-11T08:14:00Z</dcterms:created>
  <dc:creator>Adminis</dc:creator>
  <cp:lastModifiedBy>X270</cp:lastModifiedBy>
  <dcterms:modified xsi:type="dcterms:W3CDTF">2026-01-22T08:07:40Z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eyJoZGlkIjoiOGFlYWZiZThlNmU4OTBhZGNhZGZjNDM3YzU3MmVjMjMifQ==</vt:lpwstr>
  </property>
  <property fmtid="{D5CDD505-2E9C-101B-9397-08002B2CF9AE}" pid="4" name="ICV">
    <vt:lpwstr>7A5E044F79A64BEDB23E21191BE4EBB5_13</vt:lpwstr>
  </property>
</Properties>
</file>